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97065">
      <w:pPr>
        <w:pStyle w:val="5"/>
        <w:spacing w:before="0" w:line="360" w:lineRule="auto"/>
        <w:rPr>
          <w:rFonts w:ascii="宋体" w:hAnsi="宋体" w:eastAsia="宋体"/>
        </w:rPr>
      </w:pPr>
      <w:r>
        <w:rPr>
          <w:rFonts w:hint="eastAsia" w:ascii="宋体" w:hAnsi="宋体" w:eastAsia="宋体"/>
          <w:lang w:eastAsia="zh-CN"/>
        </w:rPr>
        <w:t>EER投稿指南</w:t>
      </w:r>
    </w:p>
    <w:p w14:paraId="402F8ECB">
      <w:pPr>
        <w:spacing w:line="360" w:lineRule="auto"/>
        <w:ind w:firstLine="420" w:firstLineChars="200"/>
        <w:rPr>
          <w:lang w:eastAsia="zh-CN"/>
        </w:rPr>
      </w:pPr>
      <w:r>
        <w:rPr>
          <w:rFonts w:hint="eastAsia" w:ascii="宋体" w:hAnsi="宋体" w:eastAsia="宋体" w:cs="宋体"/>
          <w:lang w:eastAsia="zh-CN"/>
        </w:rPr>
        <w:t>在投稿或撰写整篇稿件之前，请务必先将您的Proposal通过电子邮件</w:t>
      </w:r>
      <w:r>
        <w:rPr>
          <w:color w:val="4F81BD" w:themeColor="accent1"/>
          <w:lang w:eastAsia="zh-CN"/>
          <w14:textFill>
            <w14:solidFill>
              <w14:schemeClr w14:val="accent1"/>
            </w14:solidFill>
          </w14:textFill>
        </w:rPr>
        <w:t>EERproposal@oa.shu.edu.cn</w:t>
      </w:r>
      <w:r>
        <w:rPr>
          <w:rFonts w:hint="eastAsia" w:ascii="宋体" w:hAnsi="宋体" w:eastAsia="宋体" w:cs="宋体"/>
          <w:lang w:eastAsia="zh-CN"/>
        </w:rPr>
        <w:t>提交给编委会，并获得编委会的积极反馈后再在EM投审稿系统（</w:t>
      </w:r>
      <w:r>
        <w:fldChar w:fldCharType="begin"/>
      </w:r>
      <w:r>
        <w:instrText xml:space="preserve"> HYPERLINK "https://www2.cloud.editorialmanager.com/ecer/default2.aspx" </w:instrText>
      </w:r>
      <w:r>
        <w:fldChar w:fldCharType="separate"/>
      </w:r>
      <w:r>
        <w:rPr>
          <w:rStyle w:val="9"/>
          <w:rFonts w:ascii="宋体" w:hAnsi="宋体" w:eastAsia="宋体" w:cs="宋体"/>
          <w:lang w:eastAsia="zh-CN"/>
        </w:rPr>
        <w:t>https://www2.cloud.editorialmanager.com/ecer/default2.aspx</w:t>
      </w:r>
      <w:r>
        <w:rPr>
          <w:rStyle w:val="9"/>
          <w:rFonts w:ascii="宋体" w:hAnsi="宋体" w:eastAsia="宋体" w:cs="宋体"/>
          <w:lang w:eastAsia="zh-CN"/>
        </w:rPr>
        <w:fldChar w:fldCharType="end"/>
      </w:r>
      <w:r>
        <w:rPr>
          <w:rFonts w:hint="eastAsia" w:ascii="宋体" w:hAnsi="宋体" w:eastAsia="宋体" w:cs="宋体"/>
          <w:lang w:eastAsia="zh-CN"/>
        </w:rPr>
        <w:t>）进行投稿。Proposal的撰写模板见链接</w:t>
      </w:r>
      <w:r>
        <w:rPr>
          <w:rFonts w:ascii="宋体" w:hAnsi="宋体" w:eastAsia="宋体" w:cs="宋体"/>
          <w:lang w:eastAsia="zh-CN"/>
        </w:rPr>
        <w:t>https://www.springer.com/journal/41918/submission-guidelines</w:t>
      </w:r>
      <w:r>
        <w:rPr>
          <w:rFonts w:hint="eastAsia" w:ascii="宋体" w:hAnsi="宋体" w:eastAsia="宋体" w:cs="宋体"/>
          <w:lang w:eastAsia="zh-CN"/>
        </w:rPr>
        <w:t>。</w:t>
      </w:r>
    </w:p>
    <w:p w14:paraId="137998E7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 w:cstheme="minorBidi"/>
          <w:snapToGrid/>
          <w:color w:val="auto"/>
          <w:kern w:val="2"/>
          <w:szCs w:val="22"/>
          <w:lang w:eastAsia="zh-CN"/>
          <w14:ligatures w14:val="standardContextual"/>
        </w:rPr>
      </w:pPr>
      <w:r>
        <w:rPr>
          <w:rStyle w:val="8"/>
          <w:rFonts w:hint="eastAsia" w:ascii="宋体" w:hAnsi="宋体"/>
        </w:rPr>
        <w:t>稿件提交</w:t>
      </w:r>
    </w:p>
    <w:p w14:paraId="3AEB90F6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</w:rPr>
      </w:pPr>
      <w:r>
        <w:rPr>
          <w:rFonts w:hint="eastAsia" w:ascii="宋体" w:hAnsi="宋体"/>
          <w:lang w:eastAsia="zh-CN"/>
        </w:rPr>
        <w:t>提交稿件意味着</w:t>
      </w:r>
      <w:r>
        <w:rPr>
          <w:rFonts w:ascii="宋体" w:hAnsi="宋体"/>
          <w:lang w:eastAsia="zh-CN"/>
        </w:rPr>
        <w:t>:所描述的工作以前没有发表过;没有考虑在其他地方出版;它的出版得到了所有共同作者的批准，如果有的话，也得到了开展这项工作的研究所的主管</w:t>
      </w:r>
      <w:r>
        <w:rPr>
          <w:rFonts w:hint="eastAsia" w:ascii="宋体" w:hAnsi="宋体"/>
          <w:lang w:eastAsia="zh-CN"/>
        </w:rPr>
        <w:t>部门</w:t>
      </w:r>
      <w:r>
        <w:rPr>
          <w:rFonts w:ascii="宋体" w:hAnsi="宋体"/>
          <w:lang w:eastAsia="zh-CN"/>
        </w:rPr>
        <w:t>的</w:t>
      </w:r>
      <w:r>
        <w:rPr>
          <w:rFonts w:hint="eastAsia" w:ascii="宋体" w:hAnsi="宋体"/>
          <w:lang w:eastAsia="zh-CN"/>
        </w:rPr>
        <w:t>许可</w:t>
      </w:r>
      <w:r>
        <w:rPr>
          <w:rFonts w:ascii="宋体" w:hAnsi="宋体"/>
          <w:lang w:eastAsia="zh-CN"/>
        </w:rPr>
        <w:t>或明确的批准。</w:t>
      </w:r>
      <w:r>
        <w:rPr>
          <w:rFonts w:ascii="宋体" w:hAnsi="宋体"/>
        </w:rPr>
        <w:t>如果有任何索赔，出版商将不承担法律责任。</w:t>
      </w:r>
    </w:p>
    <w:p w14:paraId="7A250C4C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授权</w:t>
      </w:r>
    </w:p>
    <w:p w14:paraId="7A55C521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/>
          <w:lang w:eastAsia="zh-CN"/>
        </w:rPr>
      </w:pPr>
      <w:r>
        <w:rPr>
          <w:rFonts w:hint="eastAsia" w:ascii="宋体" w:hAnsi="宋体"/>
          <w:lang w:eastAsia="zh-CN"/>
        </w:rPr>
        <w:t>文章包含的已经在其他地方发表过的图表、表格或文本段落，需要获得版权所有者的许可，无论是印刷格式还是在线格式，请在提交论文时提供已获得此类许可的证明。收到的任何没有此类证明的材料将被认为是作者原创，由此导致的问题由作者负责。</w:t>
      </w:r>
    </w:p>
    <w:p w14:paraId="47787734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在线提交</w:t>
      </w:r>
    </w:p>
    <w:p w14:paraId="7381D53D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作者应在线提交稿件。在线提交可减少编辑处理和审查时间，缩短了总体出版时间。请访问以下链接</w:t>
      </w:r>
      <w:r>
        <w:fldChar w:fldCharType="begin"/>
      </w:r>
      <w:r>
        <w:rPr>
          <w:lang w:eastAsia="zh-CN"/>
        </w:rPr>
        <w:instrText xml:space="preserve"> HYPERLINK "https://www.editorialmanager.com/ecer/default.aspx" </w:instrText>
      </w:r>
      <w:r>
        <w:fldChar w:fldCharType="separate"/>
      </w:r>
      <w:r>
        <w:rPr>
          <w:rStyle w:val="9"/>
          <w:rFonts w:ascii="Times New Roman" w:hAnsi="Times New Roman" w:cs="Times New Roman"/>
          <w:szCs w:val="20"/>
          <w:lang w:eastAsia="zh-CN"/>
        </w:rPr>
        <w:t>https://www.editorialmanager.com/ecer/default.aspx</w:t>
      </w:r>
      <w:r>
        <w:rPr>
          <w:rStyle w:val="9"/>
          <w:rFonts w:ascii="Times New Roman" w:hAnsi="Times New Roman" w:cs="Times New Roman"/>
          <w:szCs w:val="20"/>
        </w:rPr>
        <w:fldChar w:fldCharType="end"/>
      </w:r>
      <w:r>
        <w:rPr>
          <w:rFonts w:ascii="宋体" w:hAnsi="宋体"/>
          <w:lang w:eastAsia="zh-CN"/>
        </w:rPr>
        <w:t>并按照屏幕上给出的说明上传您的所有</w:t>
      </w:r>
      <w:r>
        <w:rPr>
          <w:rFonts w:hint="eastAsia" w:ascii="宋体" w:hAnsi="宋体"/>
          <w:lang w:eastAsia="zh-CN"/>
        </w:rPr>
        <w:t>稿件</w:t>
      </w:r>
      <w:r>
        <w:rPr>
          <w:rFonts w:ascii="宋体" w:hAnsi="宋体"/>
          <w:lang w:eastAsia="zh-CN"/>
        </w:rPr>
        <w:t>。</w:t>
      </w:r>
    </w:p>
    <w:p w14:paraId="56DE6CB6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标题页</w:t>
      </w:r>
    </w:p>
    <w:p w14:paraId="2DFD5D28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标题页应包括</w:t>
      </w:r>
      <w:r>
        <w:rPr>
          <w:rFonts w:ascii="宋体" w:hAnsi="宋体"/>
        </w:rPr>
        <w:t>:</w:t>
      </w:r>
    </w:p>
    <w:p w14:paraId="6BEB959B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作者的姓名</w:t>
      </w:r>
    </w:p>
    <w:p w14:paraId="47D73F7D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简明扼要的标题</w:t>
      </w:r>
    </w:p>
    <w:p w14:paraId="27AB72B5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作者的单位和地址</w:t>
      </w:r>
    </w:p>
    <w:p w14:paraId="775C4A7D">
      <w:pPr>
        <w:spacing w:line="360" w:lineRule="auto"/>
        <w:rPr>
          <w:rFonts w:ascii="宋体" w:hAnsi="宋体"/>
          <w:lang w:eastAsia="zh-CN"/>
        </w:rPr>
      </w:pPr>
      <w:r>
        <w:rPr>
          <w:rFonts w:ascii="宋体" w:hAnsi="宋体"/>
          <w:lang w:eastAsia="zh-CN"/>
        </w:rPr>
        <w:t>通讯作者的电子邮件地址</w:t>
      </w:r>
    </w:p>
    <w:p w14:paraId="2AA29B37">
      <w:pPr>
        <w:spacing w:line="360" w:lineRule="auto"/>
        <w:rPr>
          <w:rFonts w:ascii="宋体" w:hAnsi="宋体"/>
        </w:rPr>
      </w:pPr>
      <w:r>
        <w:rPr>
          <w:rFonts w:ascii="宋体" w:hAnsi="宋体"/>
        </w:rPr>
        <w:t>例</w:t>
      </w:r>
      <w:r>
        <w:rPr>
          <w:rFonts w:hint="eastAsia" w:ascii="宋体" w:hAnsi="宋体"/>
        </w:rPr>
        <w:t>：</w:t>
      </w:r>
    </w:p>
    <w:p w14:paraId="3B2965EC">
      <w:pPr>
        <w:spacing w:before="248" w:line="360" w:lineRule="auto"/>
        <w:jc w:val="center"/>
        <w:rPr>
          <w:rFonts w:ascii="Times New Roman" w:hAnsi="Times New Roman" w:eastAsia="微软雅黑" w:cs="Times New Roman"/>
          <w:spacing w:val="-3"/>
          <w:sz w:val="24"/>
          <w:szCs w:val="24"/>
        </w:rPr>
      </w:pPr>
      <w:r>
        <w:rPr>
          <w:rFonts w:ascii="Times New Roman" w:hAnsi="Times New Roman" w:eastAsia="微软雅黑" w:cs="Times New Roman"/>
          <w:b/>
          <w:bCs/>
          <w:spacing w:val="-1"/>
          <w:sz w:val="24"/>
          <w:szCs w:val="24"/>
        </w:rPr>
        <w:t>High-Performance Anod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e</w:t>
      </w:r>
      <w:r>
        <w:rPr>
          <w:rFonts w:ascii="Times New Roman" w:hAnsi="Times New Roman" w:eastAsia="微软雅黑" w:cs="Times New Roman"/>
          <w:b/>
          <w:bCs/>
          <w:spacing w:val="24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Materials for</w:t>
      </w:r>
      <w:r>
        <w:rPr>
          <w:rFonts w:ascii="Times New Roman" w:hAnsi="Times New Roman" w:eastAsia="微软雅黑" w:cs="Times New Roman"/>
          <w:b/>
          <w:bCs/>
          <w:spacing w:val="23"/>
          <w:w w:val="101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Rechargeable</w:t>
      </w:r>
      <w:r>
        <w:rPr>
          <w:rFonts w:ascii="Times New Roman" w:hAnsi="Times New Roman" w:eastAsia="微软雅黑" w:cs="Times New Roman"/>
          <w:b/>
          <w:bCs/>
          <w:spacing w:val="23"/>
          <w:sz w:val="24"/>
          <w:szCs w:val="24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2"/>
          <w:sz w:val="24"/>
          <w:szCs w:val="24"/>
        </w:rPr>
        <w:t>Lithium-Ion</w:t>
      </w:r>
      <w:r>
        <w:rPr>
          <w:rFonts w:hint="eastAsia" w:ascii="Times New Roman" w:hAnsi="Times New Roman" w:eastAsia="微软雅黑" w:cs="Times New Roman"/>
          <w:b/>
          <w:bCs/>
          <w:spacing w:val="-2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微软雅黑" w:cs="Times New Roman"/>
          <w:b/>
          <w:bCs/>
          <w:spacing w:val="-3"/>
          <w:sz w:val="24"/>
          <w:szCs w:val="24"/>
        </w:rPr>
        <w:t>Batteries</w:t>
      </w:r>
    </w:p>
    <w:p w14:paraId="3E37D983">
      <w:pPr>
        <w:spacing w:before="240" w:beforeLines="100" w:line="360" w:lineRule="auto"/>
        <w:jc w:val="center"/>
        <w:rPr>
          <w:rFonts w:ascii="Times New Roman" w:hAnsi="Times New Roman" w:eastAsia="Times New Roman" w:cs="Times New Roman"/>
          <w:sz w:val="20"/>
          <w:szCs w:val="20"/>
          <w:lang w:val="it-IT"/>
        </w:rPr>
      </w:pP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Jun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Lu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1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Zhongwei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Chen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2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Feng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Pan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3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 xml:space="preserve">·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Yi</w:t>
      </w:r>
      <w:r>
        <w:rPr>
          <w:rFonts w:ascii="Times New Roman" w:hAnsi="Times New Roman" w:eastAsia="Times New Roman" w:cs="Times New Roman"/>
          <w:spacing w:val="24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Cui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4,5*</w:t>
      </w:r>
      <w:r>
        <w:rPr>
          <w:rFonts w:ascii="Times New Roman" w:hAnsi="Times New Roman" w:eastAsia="Times New Roman" w:cs="Times New Roman"/>
          <w:spacing w:val="-14"/>
          <w:position w:val="6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Calibri" w:cs="Times New Roman"/>
          <w:spacing w:val="12"/>
          <w:sz w:val="20"/>
          <w:szCs w:val="20"/>
          <w:lang w:val="it-IT"/>
        </w:rPr>
        <w:t>·</w:t>
      </w:r>
      <w:r>
        <w:rPr>
          <w:rFonts w:ascii="Times New Roman" w:hAnsi="Times New Roman" w:eastAsia="Calibri" w:cs="Times New Roman"/>
          <w:spacing w:val="10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Khalil</w:t>
      </w:r>
      <w:r>
        <w:rPr>
          <w:rFonts w:ascii="Times New Roman" w:hAnsi="Times New Roman" w:eastAsia="Times New Roman" w:cs="Times New Roman"/>
          <w:spacing w:val="12"/>
          <w:sz w:val="20"/>
          <w:szCs w:val="20"/>
          <w:lang w:val="it-IT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Amine</w:t>
      </w:r>
      <w:r>
        <w:rPr>
          <w:rFonts w:ascii="Times New Roman" w:hAnsi="Times New Roman" w:eastAsia="Times New Roman" w:cs="Times New Roman"/>
          <w:spacing w:val="12"/>
          <w:position w:val="6"/>
          <w:sz w:val="20"/>
          <w:szCs w:val="20"/>
          <w:lang w:val="it-IT"/>
        </w:rPr>
        <w:t>1*</w:t>
      </w:r>
    </w:p>
    <w:p w14:paraId="7FA05B11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1"/>
          <w:w w:val="102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Chemical</w:t>
      </w:r>
      <w:r>
        <w:rPr>
          <w:rFonts w:ascii="Times New Roman" w:hAnsi="Times New Roman" w:eastAsia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Sciences and Engineering Division, Argonne National Laboratory, A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rgonne, </w:t>
      </w:r>
      <w:r>
        <w:rPr>
          <w:rFonts w:ascii="Times New Roman" w:hAnsi="Times New Roman" w:eastAsia="Times New Roman" w:cs="Times New Roman"/>
          <w:color w:val="303030"/>
          <w:spacing w:val="-1"/>
          <w:sz w:val="20"/>
          <w:szCs w:val="20"/>
        </w:rPr>
        <w:t xml:space="preserve">Illinois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60439</w:t>
      </w:r>
      <w:r>
        <w:rPr>
          <w:rFonts w:ascii="Times New Roman" w:hAnsi="Times New Roman" w:eastAsia="宋体" w:cs="Times New Roman"/>
          <w:spacing w:val="-1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USA;</w:t>
      </w:r>
    </w:p>
    <w:p w14:paraId="45D28B45">
      <w:pPr>
        <w:spacing w:before="240" w:beforeLines="100" w:line="360" w:lineRule="auto"/>
        <w:ind w:hanging="3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2"/>
          <w:position w:val="5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0"/>
          <w:w w:val="103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Institute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Nanotechnology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, </w:t>
      </w:r>
      <w:r>
        <w:rPr>
          <w:rFonts w:ascii="Times New Roman" w:hAnsi="Times New Roman" w:eastAsia="Times New Roman" w:cs="Times New Roman"/>
          <w:sz w:val="20"/>
          <w:szCs w:val="20"/>
        </w:rPr>
        <w:t>Department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Chemical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Engineering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University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</w:t>
      </w:r>
      <w:r>
        <w:rPr>
          <w:rFonts w:ascii="Times New Roman" w:hAnsi="Times New Roman" w:eastAsia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Waterloo</w:t>
      </w:r>
      <w:r>
        <w:rPr>
          <w:rFonts w:ascii="Times New Roman" w:hAnsi="Times New Roman" w:eastAsia="Times New Roman" w:cs="Times New Roman"/>
          <w:spacing w:val="2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Ontario N2L 3G1, Can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ada;</w:t>
      </w:r>
    </w:p>
    <w:p w14:paraId="3935A5B7">
      <w:pPr>
        <w:spacing w:before="240" w:beforeLines="100" w:line="360" w:lineRule="auto"/>
        <w:ind w:hanging="6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3</w:t>
      </w:r>
      <w:r>
        <w:rPr>
          <w:rFonts w:ascii="Times New Roman" w:hAnsi="Times New Roman" w:eastAsia="宋体" w:cs="Times New Roman"/>
          <w:position w:val="5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School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of Materials</w:t>
      </w:r>
      <w:r>
        <w:rPr>
          <w:rFonts w:ascii="Times New Roman" w:hAnsi="Times New Roman" w:eastAsia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</w:t>
      </w:r>
      <w:r>
        <w:rPr>
          <w:rFonts w:ascii="Times New Roman" w:hAnsi="Times New Roman" w:eastAsia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and</w:t>
      </w:r>
      <w:r>
        <w:rPr>
          <w:rFonts w:ascii="Times New Roman" w:hAnsi="Times New Roman" w:eastAsia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Engineering,</w:t>
      </w:r>
      <w:r>
        <w:rPr>
          <w:rFonts w:ascii="Times New Roman" w:hAnsi="Times New Roman" w:eastAsia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Peking Univ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ersity,</w:t>
      </w:r>
      <w:r>
        <w:rPr>
          <w:rFonts w:ascii="Times New Roman" w:hAnsi="Times New Roman" w:eastAsia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Peking University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Shenzhen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Graduate</w:t>
      </w:r>
      <w:r>
        <w:rPr>
          <w:rFonts w:ascii="Times New Roman" w:hAnsi="Times New Roman" w:eastAsia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School,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Shenzhen 518055, China;</w:t>
      </w:r>
    </w:p>
    <w:p w14:paraId="5A233A8A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4</w:t>
      </w:r>
      <w:r>
        <w:rPr>
          <w:rFonts w:ascii="Times New Roman" w:hAnsi="Times New Roman" w:eastAsia="Times New Roman" w:cs="Times New Roman"/>
          <w:spacing w:val="18"/>
          <w:w w:val="102"/>
          <w:position w:val="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Department of</w:t>
      </w:r>
      <w:r>
        <w:rPr>
          <w:rFonts w:ascii="Times New Roman" w:hAnsi="Times New Roman" w:eastAsia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Materials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Science and Engineering,</w:t>
      </w:r>
      <w:r>
        <w:rPr>
          <w:rFonts w:ascii="Times New Roman" w:hAnsi="Times New Roman" w:eastAsia="Times New Roman" w:cs="Times New Roman"/>
          <w:spacing w:val="11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Stanford University,</w:t>
      </w: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d, California 94305, USA;</w:t>
      </w:r>
    </w:p>
    <w:p w14:paraId="1489B0E7">
      <w:pPr>
        <w:spacing w:before="240" w:beforeLines="100" w:line="36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position w:val="5"/>
          <w:sz w:val="20"/>
          <w:szCs w:val="20"/>
        </w:rPr>
        <w:t>5</w:t>
      </w:r>
      <w:r>
        <w:rPr>
          <w:rFonts w:ascii="Times New Roman" w:hAnsi="Times New Roman" w:eastAsia="宋体" w:cs="Times New Roman"/>
          <w:position w:val="5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Stanford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Institute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for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Materials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and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Energy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Sciences,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SLAC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National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Accelerator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Laboratory,</w:t>
      </w:r>
      <w:r>
        <w:rPr>
          <w:rFonts w:ascii="Times New Roman" w:hAnsi="Times New Roman" w:eastAsia="宋体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Menlo</w:t>
      </w:r>
      <w:r>
        <w:rPr>
          <w:rFonts w:ascii="Times New Roman" w:hAnsi="Times New Roman" w:eastAsia="Times New Roman" w:cs="Times New Roman"/>
          <w:spacing w:val="43"/>
          <w:w w:val="10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Park,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California 94025, USA</w:t>
      </w:r>
    </w:p>
    <w:p w14:paraId="01544F8F">
      <w:pPr>
        <w:spacing w:before="240" w:beforeLines="100" w:line="360" w:lineRule="auto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Corresponding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</w:rPr>
        <w:t>authors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’ E-</w:t>
      </w:r>
      <w:r>
        <w:rPr>
          <w:rFonts w:ascii="Times New Roman" w:hAnsi="Times New Roman" w:eastAsia="Times New Roman" w:cs="Times New Roman"/>
          <w:sz w:val="20"/>
          <w:szCs w:val="20"/>
        </w:rPr>
        <w:t>mail</w:t>
      </w:r>
      <w:r>
        <w:fldChar w:fldCharType="begin"/>
      </w:r>
      <w:r>
        <w:instrText xml:space="preserve"> HYPERLINK "mailto:junlu@anlg.gov"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: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junlu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anlg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gov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fldChar w:fldCharType="end"/>
      </w:r>
      <w:r>
        <w:fldChar w:fldCharType="begin"/>
      </w:r>
      <w:r>
        <w:instrText xml:space="preserve"> HYPERLINK "mailto:panfeng@pkusz.edu.cn"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(J.</w:t>
      </w:r>
      <w:r>
        <w:rPr>
          <w:rFonts w:ascii="Times New Roman" w:hAnsi="Times New Roman" w:eastAsia="Times New Roman" w:cs="Times New Roman"/>
          <w:sz w:val="20"/>
          <w:szCs w:val="20"/>
        </w:rPr>
        <w:t>Lu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),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panfeng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pkusz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edu</w:t>
      </w:r>
      <w:r>
        <w:rPr>
          <w:rFonts w:ascii="Times New Roman" w:hAnsi="Times New Roman" w:eastAsia="Times New Roman" w:cs="Times New Roman"/>
          <w:color w:val="0000FF"/>
          <w:spacing w:val="1"/>
          <w:sz w:val="20"/>
          <w:szCs w:val="20"/>
          <w:u w:val="single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t>cn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(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fldChar w:fldCharType="end"/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P. </w:t>
      </w:r>
      <w:r>
        <w:rPr>
          <w:rFonts w:ascii="Times New Roman" w:hAnsi="Times New Roman" w:eastAsia="Times New Roman" w:cs="Times New Roman"/>
          <w:sz w:val="20"/>
          <w:szCs w:val="20"/>
        </w:rPr>
        <w:t>Fan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)</w:t>
      </w:r>
      <w:r>
        <w:rPr>
          <w:rFonts w:ascii="Times New Roman" w:hAnsi="Times New Roman" w:eastAsia="微软雅黑" w:cs="Times New Roman"/>
          <w:spacing w:val="1"/>
          <w:sz w:val="20"/>
          <w:szCs w:val="20"/>
        </w:rPr>
        <w:t>，</w:t>
      </w:r>
    </w:p>
    <w:p w14:paraId="1A7CD8EC">
      <w:pPr>
        <w:spacing w:before="240" w:beforeLines="100" w:line="360" w:lineRule="auto"/>
        <w:ind w:left="2520" w:leftChars="1200"/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</w:pPr>
      <w:r>
        <w:fldChar w:fldCharType="begin"/>
      </w:r>
      <w:r>
        <w:instrText xml:space="preserve"> HYPERLINK "mailto:yicui@stanford.edu"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yicui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stanford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edu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fldChar w:fldCharType="end"/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(Y.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Cui</w:t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)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and</w:t>
      </w: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rPr>
          <w:rFonts w:ascii="Times New Roman" w:hAnsi="Times New Roman" w:cs="Times New Roman"/>
          <w:sz w:val="20"/>
          <w:szCs w:val="20"/>
          <w:lang w:val="it-IT"/>
        </w:rPr>
        <w:instrText xml:space="preserve"> HYPERLINK "mailto:amine@anl.gov"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amine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@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anl</w:t>
      </w:r>
      <w:r>
        <w:rPr>
          <w:rFonts w:ascii="Times New Roman" w:hAnsi="Times New Roman" w:eastAsia="Times New Roman" w:cs="Times New Roman"/>
          <w:color w:val="0000FF"/>
          <w:spacing w:val="9"/>
          <w:sz w:val="20"/>
          <w:szCs w:val="20"/>
          <w:u w:val="single"/>
          <w:lang w:val="it-IT"/>
        </w:rPr>
        <w:t>.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  <w:lang w:val="it-IT"/>
        </w:rPr>
        <w:t>gov</w:t>
      </w:r>
      <w:r>
        <w:rPr>
          <w:rFonts w:ascii="Times New Roman" w:hAnsi="Times New Roman" w:eastAsia="Times New Roman" w:cs="Times New Roman"/>
          <w:color w:val="0000FF"/>
          <w:sz w:val="20"/>
          <w:szCs w:val="20"/>
          <w:u w:val="single"/>
        </w:rPr>
        <w:fldChar w:fldCharType="end"/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 xml:space="preserve">(K. </w:t>
      </w:r>
      <w:r>
        <w:rPr>
          <w:rFonts w:ascii="Times New Roman" w:hAnsi="Times New Roman" w:eastAsia="Times New Roman" w:cs="Times New Roman"/>
          <w:sz w:val="20"/>
          <w:szCs w:val="20"/>
          <w:lang w:val="it-IT"/>
        </w:rPr>
        <w:t>Amine</w:t>
      </w:r>
      <w:r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  <w:t>)</w:t>
      </w:r>
    </w:p>
    <w:p w14:paraId="429AA383">
      <w:pPr>
        <w:spacing w:before="240" w:beforeLines="100" w:line="360" w:lineRule="auto"/>
        <w:ind w:left="2520" w:leftChars="1200"/>
        <w:rPr>
          <w:rFonts w:ascii="Times New Roman" w:hAnsi="Times New Roman" w:eastAsia="Times New Roman" w:cs="Times New Roman"/>
          <w:spacing w:val="9"/>
          <w:sz w:val="20"/>
          <w:szCs w:val="20"/>
          <w:lang w:val="it-IT"/>
        </w:rPr>
      </w:pPr>
    </w:p>
    <w:p w14:paraId="417FAC66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hint="eastAsia" w:ascii="宋体" w:hAnsi="宋体"/>
        </w:rPr>
        <w:t>正文</w:t>
      </w:r>
    </w:p>
    <w:p w14:paraId="22C1FEFB">
      <w:pPr>
        <w:numPr>
          <w:ilvl w:val="1"/>
          <w:numId w:val="1"/>
        </w:num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长综述（Review）</w:t>
      </w:r>
      <w:r>
        <w:rPr>
          <w:rFonts w:ascii="宋体" w:hAnsi="宋体" w:cs="Times New Roman"/>
          <w:szCs w:val="20"/>
          <w:lang w:eastAsia="zh-CN"/>
        </w:rPr>
        <w:t>:建议全文字数</w:t>
      </w:r>
      <w:r>
        <w:rPr>
          <w:rFonts w:hint="eastAsia" w:ascii="宋体" w:hAnsi="宋体" w:cs="Times New Roman"/>
          <w:szCs w:val="20"/>
          <w:lang w:val="en-US" w:eastAsia="zh-CN"/>
        </w:rPr>
        <w:t>在</w:t>
      </w:r>
      <w:r>
        <w:rPr>
          <w:rFonts w:hint="eastAsia" w:ascii="宋体" w:hAnsi="宋体" w:cs="Times New Roman"/>
          <w:b/>
          <w:bCs/>
          <w:szCs w:val="20"/>
          <w:lang w:val="en-US" w:eastAsia="zh-CN"/>
        </w:rPr>
        <w:t>11000</w:t>
      </w:r>
      <w:r>
        <w:rPr>
          <w:rFonts w:hint="eastAsia" w:ascii="宋体" w:hAnsi="宋体" w:cs="Times New Roman"/>
          <w:szCs w:val="20"/>
          <w:lang w:val="en-US" w:eastAsia="zh-CN"/>
        </w:rPr>
        <w:t>-</w:t>
      </w:r>
      <w:r>
        <w:rPr>
          <w:rFonts w:hint="eastAsia" w:ascii="Times New Roman" w:hAnsi="Times New Roman" w:cs="Times New Roman"/>
          <w:b/>
          <w:bCs/>
          <w:szCs w:val="20"/>
          <w:lang w:val="en-US" w:eastAsia="zh-CN"/>
        </w:rPr>
        <w:t>15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000</w:t>
      </w:r>
      <w:r>
        <w:rPr>
          <w:rFonts w:ascii="宋体" w:hAnsi="宋体" w:cs="Times New Roman"/>
          <w:szCs w:val="20"/>
          <w:lang w:eastAsia="zh-CN"/>
        </w:rPr>
        <w:t>字</w:t>
      </w:r>
      <w:r>
        <w:rPr>
          <w:rFonts w:hint="eastAsia" w:ascii="宋体" w:hAnsi="宋体" w:cs="Times New Roman"/>
          <w:szCs w:val="20"/>
          <w:lang w:val="en-US" w:eastAsia="zh-CN"/>
        </w:rPr>
        <w:t>之间</w:t>
      </w:r>
      <w:bookmarkStart w:id="0" w:name="_GoBack"/>
      <w:bookmarkEnd w:id="0"/>
      <w:r>
        <w:rPr>
          <w:rFonts w:ascii="宋体" w:hAnsi="宋体" w:cs="Times New Roman"/>
          <w:szCs w:val="20"/>
          <w:lang w:eastAsia="zh-CN"/>
        </w:rPr>
        <w:t>，参考文献不少于</w:t>
      </w:r>
      <w:r>
        <w:rPr>
          <w:rFonts w:ascii="Times New Roman" w:hAnsi="Times New Roman" w:cs="Times New Roman"/>
          <w:szCs w:val="20"/>
          <w:lang w:eastAsia="zh-CN"/>
        </w:rPr>
        <w:t>1</w:t>
      </w:r>
      <w:r>
        <w:rPr>
          <w:rFonts w:hint="eastAsia" w:ascii="Times New Roman" w:hAnsi="Times New Roman" w:cs="Times New Roman"/>
          <w:szCs w:val="20"/>
          <w:lang w:val="en-US" w:eastAsia="zh-CN"/>
        </w:rPr>
        <w:t>2</w:t>
      </w:r>
      <w:r>
        <w:rPr>
          <w:rFonts w:ascii="Times New Roman" w:hAnsi="Times New Roman" w:cs="Times New Roman"/>
          <w:szCs w:val="20"/>
          <w:lang w:eastAsia="zh-CN"/>
        </w:rPr>
        <w:t>0</w:t>
      </w:r>
      <w:r>
        <w:rPr>
          <w:rFonts w:ascii="宋体" w:hAnsi="宋体" w:cs="Times New Roman"/>
          <w:szCs w:val="20"/>
          <w:lang w:eastAsia="zh-CN"/>
        </w:rPr>
        <w:t>篇。</w:t>
      </w:r>
    </w:p>
    <w:p w14:paraId="075FA460">
      <w:pPr>
        <w:numPr>
          <w:ilvl w:val="1"/>
          <w:numId w:val="1"/>
        </w:num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/>
          <w:lang w:eastAsia="zh-CN"/>
        </w:rPr>
        <w:t>短综述（Perspective）</w:t>
      </w:r>
      <w:r>
        <w:rPr>
          <w:lang w:eastAsia="zh-CN"/>
        </w:rPr>
        <w:t>:</w:t>
      </w:r>
      <w:r>
        <w:rPr>
          <w:rFonts w:hint="eastAsia"/>
          <w:lang w:eastAsia="zh-CN"/>
        </w:rPr>
        <w:t xml:space="preserve"> 短综述</w:t>
      </w:r>
      <w:r>
        <w:rPr>
          <w:rFonts w:hint="eastAsia" w:ascii="宋体" w:hAnsi="宋体" w:cs="Times New Roman"/>
          <w:szCs w:val="20"/>
          <w:lang w:eastAsia="zh-CN"/>
        </w:rPr>
        <w:t>论文</w:t>
      </w:r>
      <w:r>
        <w:rPr>
          <w:rFonts w:ascii="宋体" w:hAnsi="宋体" w:cs="Times New Roman"/>
          <w:szCs w:val="20"/>
          <w:lang w:eastAsia="zh-CN"/>
        </w:rPr>
        <w:t>是对一个领域或主题的更个人化的分析。它比评论更短，更</w:t>
      </w:r>
      <w:r>
        <w:rPr>
          <w:rFonts w:hint="eastAsia" w:ascii="宋体" w:hAnsi="宋体" w:cs="Times New Roman"/>
          <w:szCs w:val="20"/>
          <w:lang w:eastAsia="zh-CN"/>
        </w:rPr>
        <w:t>聚焦</w:t>
      </w:r>
      <w:r>
        <w:rPr>
          <w:rFonts w:ascii="宋体" w:hAnsi="宋体" w:cs="Times New Roman"/>
          <w:szCs w:val="20"/>
          <w:lang w:eastAsia="zh-CN"/>
        </w:rPr>
        <w:t>。一</w:t>
      </w:r>
      <w:r>
        <w:rPr>
          <w:rFonts w:hint="eastAsia" w:ascii="宋体" w:hAnsi="宋体" w:cs="Times New Roman"/>
          <w:szCs w:val="20"/>
          <w:lang w:eastAsia="zh-CN"/>
        </w:rPr>
        <w:t>篇</w:t>
      </w:r>
      <w:r>
        <w:rPr>
          <w:rFonts w:ascii="宋体" w:hAnsi="宋体" w:cs="Times New Roman"/>
          <w:szCs w:val="20"/>
          <w:lang w:eastAsia="zh-CN"/>
        </w:rPr>
        <w:t>典型的</w:t>
      </w:r>
      <w:r>
        <w:rPr>
          <w:rFonts w:hint="eastAsia" w:ascii="宋体" w:hAnsi="宋体" w:cs="Times New Roman"/>
          <w:szCs w:val="20"/>
          <w:lang w:eastAsia="zh-CN"/>
        </w:rPr>
        <w:t>短综述论文通常在</w:t>
      </w:r>
      <w:r>
        <w:rPr>
          <w:rFonts w:ascii="Times New Roman" w:hAnsi="Times New Roman" w:cs="Times New Roman"/>
          <w:szCs w:val="20"/>
          <w:lang w:eastAsia="zh-CN"/>
        </w:rPr>
        <w:t>2000-3000</w:t>
      </w:r>
      <w:r>
        <w:rPr>
          <w:rFonts w:ascii="宋体" w:hAnsi="宋体" w:cs="Times New Roman"/>
          <w:szCs w:val="20"/>
          <w:lang w:eastAsia="zh-CN"/>
        </w:rPr>
        <w:t>字，</w:t>
      </w:r>
      <w:r>
        <w:rPr>
          <w:rFonts w:hint="eastAsia" w:ascii="宋体" w:hAnsi="宋体" w:cs="Times New Roman"/>
          <w:szCs w:val="20"/>
          <w:lang w:eastAsia="zh-CN"/>
        </w:rPr>
        <w:t>包含</w:t>
      </w:r>
      <w:r>
        <w:rPr>
          <w:rFonts w:ascii="Times New Roman" w:hAnsi="Times New Roman" w:cs="Times New Roman"/>
          <w:szCs w:val="20"/>
          <w:lang w:eastAsia="zh-CN"/>
        </w:rPr>
        <w:t>2-4</w:t>
      </w:r>
      <w:r>
        <w:rPr>
          <w:rFonts w:ascii="宋体" w:hAnsi="宋体" w:cs="Times New Roman"/>
          <w:szCs w:val="20"/>
          <w:lang w:eastAsia="zh-CN"/>
        </w:rPr>
        <w:t>个</w:t>
      </w:r>
      <w:r>
        <w:rPr>
          <w:rFonts w:hint="eastAsia" w:ascii="宋体" w:hAnsi="宋体" w:cs="Times New Roman"/>
          <w:szCs w:val="20"/>
          <w:lang w:eastAsia="zh-CN"/>
        </w:rPr>
        <w:t>图表以及</w:t>
      </w:r>
      <w:r>
        <w:rPr>
          <w:rFonts w:ascii="Times New Roman" w:hAnsi="Times New Roman" w:cs="Times New Roman"/>
          <w:szCs w:val="20"/>
          <w:lang w:eastAsia="zh-CN"/>
        </w:rPr>
        <w:t>20-40</w:t>
      </w:r>
      <w:r>
        <w:rPr>
          <w:rFonts w:hint="eastAsia" w:ascii="宋体" w:hAnsi="宋体" w:cs="Times New Roman"/>
          <w:szCs w:val="20"/>
          <w:lang w:eastAsia="zh-CN"/>
        </w:rPr>
        <w:t>篇</w:t>
      </w:r>
      <w:r>
        <w:rPr>
          <w:rFonts w:ascii="宋体" w:hAnsi="宋体" w:cs="Times New Roman"/>
          <w:szCs w:val="20"/>
          <w:lang w:eastAsia="zh-CN"/>
        </w:rPr>
        <w:t>参考文献。</w:t>
      </w:r>
    </w:p>
    <w:p w14:paraId="7B31AB65">
      <w:pPr>
        <w:numPr>
          <w:ilvl w:val="0"/>
          <w:numId w:val="1"/>
        </w:numPr>
        <w:spacing w:line="360" w:lineRule="auto"/>
        <w:rPr>
          <w:rStyle w:val="8"/>
          <w:rFonts w:ascii="宋体" w:hAnsi="宋体"/>
        </w:rPr>
      </w:pPr>
      <w:r>
        <w:rPr>
          <w:rStyle w:val="8"/>
          <w:rFonts w:ascii="宋体" w:hAnsi="宋体"/>
        </w:rPr>
        <w:t>摘要</w:t>
      </w:r>
    </w:p>
    <w:p w14:paraId="3B894E8F">
      <w:p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请提供</w:t>
      </w:r>
      <w:r>
        <w:rPr>
          <w:rFonts w:ascii="Times New Roman" w:hAnsi="Times New Roman" w:cs="Times New Roman"/>
          <w:szCs w:val="20"/>
          <w:lang w:eastAsia="zh-CN"/>
        </w:rPr>
        <w:t>150-250</w:t>
      </w:r>
      <w:r>
        <w:rPr>
          <w:rFonts w:ascii="宋体" w:hAnsi="宋体" w:cs="Times New Roman"/>
          <w:szCs w:val="20"/>
          <w:lang w:eastAsia="zh-CN"/>
        </w:rPr>
        <w:t>字的摘要。摘要不应包含任何未定义的缩写或未指定的参考文献。</w:t>
      </w:r>
    </w:p>
    <w:p w14:paraId="1D978A02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/>
        </w:rPr>
      </w:pPr>
      <w:r>
        <w:rPr>
          <w:rStyle w:val="8"/>
          <w:rFonts w:hint="eastAsia" w:ascii="宋体" w:hAnsi="宋体" w:eastAsiaTheme="minorEastAsia"/>
        </w:rPr>
        <w:t>关键词</w:t>
      </w:r>
    </w:p>
    <w:p w14:paraId="59964232">
      <w:pPr>
        <w:spacing w:line="360" w:lineRule="auto"/>
        <w:rPr>
          <w:rFonts w:ascii="宋体" w:hAnsi="宋体" w:cs="Times New Roman"/>
          <w:szCs w:val="20"/>
        </w:rPr>
      </w:pPr>
      <w:r>
        <w:rPr>
          <w:rFonts w:hint="eastAsia" w:ascii="宋体" w:hAnsi="宋体" w:cs="Times New Roman"/>
          <w:szCs w:val="20"/>
        </w:rPr>
        <w:t>请提供</w:t>
      </w:r>
      <w:r>
        <w:rPr>
          <w:rFonts w:ascii="Times New Roman" w:hAnsi="Times New Roman" w:cs="Times New Roman"/>
          <w:szCs w:val="20"/>
        </w:rPr>
        <w:t>4</w:t>
      </w:r>
      <w:r>
        <w:rPr>
          <w:rFonts w:ascii="宋体" w:hAnsi="宋体" w:cs="Times New Roman"/>
          <w:szCs w:val="20"/>
        </w:rPr>
        <w:t>至</w:t>
      </w:r>
      <w:r>
        <w:rPr>
          <w:rFonts w:ascii="Times New Roman" w:hAnsi="Times New Roman" w:cs="Times New Roman"/>
          <w:szCs w:val="20"/>
        </w:rPr>
        <w:t>6</w:t>
      </w:r>
      <w:r>
        <w:rPr>
          <w:rFonts w:ascii="宋体" w:hAnsi="宋体" w:cs="Times New Roman"/>
          <w:szCs w:val="20"/>
        </w:rPr>
        <w:t>个关键</w:t>
      </w:r>
      <w:r>
        <w:rPr>
          <w:rFonts w:hint="eastAsia" w:ascii="宋体" w:hAnsi="宋体" w:cs="Times New Roman"/>
          <w:szCs w:val="20"/>
        </w:rPr>
        <w:t>词。</w:t>
      </w:r>
    </w:p>
    <w:p w14:paraId="74765F56">
      <w:pPr>
        <w:numPr>
          <w:ilvl w:val="0"/>
          <w:numId w:val="1"/>
        </w:numPr>
        <w:spacing w:line="360" w:lineRule="auto"/>
        <w:rPr>
          <w:rStyle w:val="8"/>
          <w:rFonts w:ascii="宋体" w:hAnsi="宋体" w:eastAsiaTheme="minorEastAsia"/>
        </w:rPr>
      </w:pPr>
      <w:r>
        <w:rPr>
          <w:rStyle w:val="8"/>
          <w:rFonts w:hint="eastAsia" w:ascii="宋体" w:hAnsi="宋体" w:eastAsiaTheme="minorEastAsia"/>
        </w:rPr>
        <w:t>目录</w:t>
      </w:r>
    </w:p>
    <w:p w14:paraId="7C346B03">
      <w:pPr>
        <w:spacing w:line="360" w:lineRule="auto"/>
        <w:rPr>
          <w:rFonts w:ascii="宋体" w:hAnsi="宋体" w:cs="Times New Roman"/>
          <w:szCs w:val="20"/>
          <w:lang w:eastAsia="zh-CN"/>
        </w:rPr>
      </w:pPr>
      <w:r>
        <w:rPr>
          <w:rFonts w:hint="eastAsia" w:ascii="宋体" w:hAnsi="宋体" w:cs="Times New Roman"/>
          <w:szCs w:val="20"/>
          <w:lang w:eastAsia="zh-CN"/>
        </w:rPr>
        <w:t>请提供一份目录，该目录是各部分</w:t>
      </w:r>
      <w:r>
        <w:rPr>
          <w:rFonts w:ascii="宋体" w:hAnsi="宋体" w:cs="Times New Roman"/>
          <w:szCs w:val="20"/>
          <w:lang w:eastAsia="zh-CN"/>
        </w:rPr>
        <w:t>(章节或</w:t>
      </w:r>
      <w:r>
        <w:rPr>
          <w:rFonts w:hint="eastAsia" w:ascii="宋体" w:hAnsi="宋体" w:cs="Times New Roman"/>
          <w:szCs w:val="20"/>
          <w:lang w:eastAsia="zh-CN"/>
        </w:rPr>
        <w:t>单独部分</w:t>
      </w:r>
      <w:r>
        <w:rPr>
          <w:rFonts w:ascii="宋体" w:hAnsi="宋体" w:cs="Times New Roman"/>
          <w:szCs w:val="20"/>
          <w:lang w:eastAsia="zh-CN"/>
        </w:rPr>
        <w:t>)的列表，以及它们开始的</w:t>
      </w:r>
      <w:r>
        <w:rPr>
          <w:rFonts w:hint="eastAsia" w:ascii="宋体" w:hAnsi="宋体" w:cs="Times New Roman"/>
          <w:szCs w:val="20"/>
          <w:lang w:eastAsia="zh-CN"/>
        </w:rPr>
        <w:t>页码。</w:t>
      </w:r>
      <w:r>
        <w:rPr>
          <w:rFonts w:ascii="宋体" w:hAnsi="宋体" w:cs="Times New Roman"/>
          <w:szCs w:val="20"/>
          <w:lang w:eastAsia="zh-CN"/>
        </w:rPr>
        <w:t>便</w:t>
      </w:r>
      <w:r>
        <w:rPr>
          <w:rFonts w:hint="eastAsia" w:ascii="宋体" w:hAnsi="宋体" w:cs="Times New Roman"/>
          <w:szCs w:val="20"/>
          <w:lang w:eastAsia="zh-CN"/>
        </w:rPr>
        <w:t>于</w:t>
      </w:r>
      <w:r>
        <w:rPr>
          <w:rFonts w:ascii="宋体" w:hAnsi="宋体" w:cs="Times New Roman"/>
          <w:szCs w:val="20"/>
          <w:lang w:eastAsia="zh-CN"/>
        </w:rPr>
        <w:t>读者</w:t>
      </w:r>
      <w:r>
        <w:rPr>
          <w:rFonts w:hint="eastAsia" w:ascii="宋体" w:hAnsi="宋体" w:cs="Times New Roman"/>
          <w:szCs w:val="20"/>
          <w:lang w:eastAsia="zh-CN"/>
        </w:rPr>
        <w:t>了解文章的框架</w:t>
      </w:r>
      <w:r>
        <w:rPr>
          <w:rFonts w:ascii="宋体" w:hAnsi="宋体" w:cs="Times New Roman"/>
          <w:szCs w:val="20"/>
          <w:lang w:eastAsia="zh-CN"/>
        </w:rPr>
        <w:t>。</w:t>
      </w:r>
    </w:p>
    <w:p w14:paraId="01FA4D33">
      <w:pPr>
        <w:autoSpaceDE/>
        <w:autoSpaceDN/>
        <w:spacing w:before="480" w:beforeLines="200" w:line="360" w:lineRule="auto"/>
        <w:rPr>
          <w:rFonts w:ascii="宋体" w:hAnsi="宋体" w:cs="Times New Roman"/>
          <w:szCs w:val="20"/>
        </w:rPr>
      </w:pPr>
      <w:r>
        <w:rPr>
          <w:rFonts w:hint="eastAsia" w:ascii="宋体" w:hAnsi="宋体" w:cs="Times New Roman"/>
          <w:szCs w:val="20"/>
        </w:rPr>
        <w:t>例，</w:t>
      </w:r>
    </w:p>
    <w:p w14:paraId="7A7061C9">
      <w:pPr>
        <w:spacing w:before="480" w:beforeLines="200" w:after="480" w:afterLine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Table of Contents</w:t>
      </w:r>
    </w:p>
    <w:sdt>
      <w:sdtPr>
        <w:rPr>
          <w:rFonts w:ascii="Times New Roman" w:hAnsi="Times New Roman" w:eastAsia="Times New Roman" w:cs="Times New Roman"/>
          <w:sz w:val="20"/>
          <w:szCs w:val="20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4"/>
          <w:sz w:val="20"/>
          <w:szCs w:val="20"/>
        </w:rPr>
      </w:sdtEndPr>
      <w:sdtContent>
        <w:p w14:paraId="44644812">
          <w:pPr>
            <w:tabs>
              <w:tab w:val="right" w:leader="dot" w:pos="8302"/>
            </w:tabs>
            <w:spacing w:before="55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7"/>
              <w:sz w:val="20"/>
              <w:szCs w:val="20"/>
            </w:rPr>
            <w:t xml:space="preserve">1.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Introduction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</w:t>
          </w:r>
        </w:p>
        <w:p w14:paraId="562DA23F">
          <w:pPr>
            <w:tabs>
              <w:tab w:val="right" w:leader="dot" w:pos="8319"/>
            </w:tabs>
            <w:spacing w:before="261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2. Basic Electrochemic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al Behavior of</w:t>
          </w:r>
          <w:r>
            <w:rPr>
              <w:rFonts w:ascii="Times New Roman" w:hAnsi="Times New Roman" w:eastAsia="Times New Roman" w:cs="Times New Roman"/>
              <w:b/>
              <w:bCs/>
              <w:spacing w:val="-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HMLEs</w:t>
          </w:r>
          <w:r>
            <w:rPr>
              <w:rFonts w:ascii="Times New Roman" w:hAnsi="Times New Roman" w:eastAsia="Times New Roman" w:cs="Times New Roman"/>
              <w:b/>
              <w:bCs/>
              <w:spacing w:val="-2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9</w:t>
          </w:r>
        </w:p>
        <w:p w14:paraId="2FB61E35">
          <w:pPr>
            <w:tabs>
              <w:tab w:val="right" w:leader="dot" w:pos="8319"/>
            </w:tabs>
            <w:spacing w:before="261"/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 xml:space="preserve">3. Advanced Strategies for High Performance HMLEs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12</w:t>
          </w:r>
        </w:p>
      </w:sdtContent>
    </w:sdt>
    <w:sdt>
      <w:sdtPr>
        <w:rPr>
          <w:rFonts w:ascii="Times New Roman" w:hAnsi="Times New Roman" w:eastAsia="Times New Roman" w:cs="Times New Roman"/>
          <w:sz w:val="20"/>
          <w:szCs w:val="20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0"/>
          <w:szCs w:val="20"/>
        </w:rPr>
      </w:sdtEndPr>
      <w:sdtContent>
        <w:p w14:paraId="78B1B07E">
          <w:pPr>
            <w:tabs>
              <w:tab w:val="right" w:leader="dot" w:pos="8309"/>
            </w:tabs>
            <w:spacing w:before="240" w:beforeLines="100"/>
            <w:ind w:left="210" w:left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3.1 Inactive Components Regulation</w:t>
          </w:r>
          <w:r>
            <w:rPr>
              <w:rFonts w:ascii="Times New Roman" w:hAnsi="Times New Roman" w:eastAsia="Times New Roman" w:cs="Times New Roman"/>
              <w:b/>
              <w:bCs/>
              <w:spacing w:val="-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13</w:t>
          </w:r>
        </w:p>
        <w:p w14:paraId="53CCB86D">
          <w:pPr>
            <w:tabs>
              <w:tab w:val="right" w:leader="dot" w:pos="8305"/>
            </w:tabs>
            <w:spacing w:before="258"/>
            <w:ind w:firstLine="47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3.1.1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Conductive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Additive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Regulation</w:t>
          </w:r>
          <w:r>
            <w:rPr>
              <w:rFonts w:ascii="Times New Roman" w:hAnsi="Times New Roman" w:eastAsia="Times New Roman" w:cs="Times New Roman"/>
              <w:b/>
              <w:bCs/>
              <w:spacing w:val="-28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14</w:t>
          </w:r>
        </w:p>
        <w:p w14:paraId="6FCC01BD">
          <w:pPr>
            <w:tabs>
              <w:tab w:val="right" w:leader="dot" w:pos="8302"/>
            </w:tabs>
            <w:spacing w:before="261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3.1.2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Binder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17</w:t>
          </w:r>
        </w:p>
        <w:p w14:paraId="006BAF31">
          <w:pPr>
            <w:tabs>
              <w:tab w:val="right" w:leader="dot" w:pos="8280"/>
            </w:tabs>
            <w:spacing w:before="260"/>
            <w:ind w:firstLine="464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3.1.3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Current</w:t>
          </w: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Collector</w:t>
          </w:r>
          <w:r>
            <w:rPr>
              <w:rFonts w:ascii="Times New Roman" w:hAnsi="Times New Roman" w:eastAsia="Times New Roman" w:cs="Times New Roman"/>
              <w:b/>
              <w:bCs/>
              <w:spacing w:val="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Design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19</w:t>
          </w:r>
        </w:p>
        <w:p w14:paraId="3E2CA445">
          <w:pPr>
            <w:tabs>
              <w:tab w:val="right" w:leader="dot" w:pos="8309"/>
            </w:tabs>
            <w:spacing w:before="240" w:beforeLines="100"/>
            <w:ind w:firstLine="210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3.2 Regulation of</w:t>
          </w:r>
          <w:r>
            <w:rPr>
              <w:rFonts w:ascii="Times New Roman" w:hAnsi="Times New Roman" w:eastAsia="Times New Roman" w:cs="Times New Roman"/>
              <w:b/>
              <w:bCs/>
              <w:spacing w:val="-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AMs Pr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operties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21</w:t>
          </w:r>
        </w:p>
        <w:p w14:paraId="51A6D11F">
          <w:pPr>
            <w:tabs>
              <w:tab w:val="right" w:leader="dot" w:pos="8320"/>
            </w:tabs>
            <w:spacing w:before="259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3.2.1 Improve Electrical Conductivity of</w:t>
          </w:r>
          <w:r>
            <w:rPr>
              <w:rFonts w:ascii="Times New Roman" w:hAnsi="Times New Roman" w:eastAsia="Times New Roman" w:cs="Times New Roman"/>
              <w:b/>
              <w:bCs/>
              <w:spacing w:val="-1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Ms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21</w:t>
          </w:r>
        </w:p>
        <w:p w14:paraId="07B16057">
          <w:pPr>
            <w:tabs>
              <w:tab w:val="right" w:leader="dot" w:pos="8320"/>
            </w:tabs>
            <w:spacing w:before="260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3.2.2 Promote Ionic Diffusion Efficiency in Porous El</w:t>
          </w:r>
          <w:r>
            <w:rPr>
              <w:rFonts w:ascii="Times New Roman" w:hAnsi="Times New Roman" w:eastAsia="Times New Roman" w:cs="Times New Roman"/>
              <w:b/>
              <w:bCs/>
              <w:spacing w:val="3"/>
              <w:sz w:val="20"/>
              <w:szCs w:val="20"/>
            </w:rPr>
            <w:t>ectrodes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25</w:t>
          </w:r>
        </w:p>
        <w:p w14:paraId="3AC9A76C">
          <w:pPr>
            <w:tabs>
              <w:tab w:val="right" w:leader="dot" w:pos="8320"/>
            </w:tabs>
            <w:spacing w:before="259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3.2.3 Reduce Ionic Solid-Phase Diffusion Resistance</w:t>
          </w:r>
          <w:r>
            <w:rPr>
              <w:rFonts w:ascii="Times New Roman" w:hAnsi="Times New Roman" w:eastAsia="Times New Roman" w:cs="Times New Roman"/>
              <w:b/>
              <w:bCs/>
              <w:spacing w:val="-2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29</w:t>
          </w:r>
        </w:p>
        <w:p w14:paraId="6528AE74">
          <w:pPr>
            <w:tabs>
              <w:tab w:val="right" w:leader="dot" w:pos="8310"/>
            </w:tabs>
            <w:spacing w:before="240" w:beforeLines="100"/>
            <w:ind w:firstLine="208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3.3 Integrated Electrode Design</w:t>
          </w:r>
          <w:r>
            <w:rPr>
              <w:rFonts w:ascii="Times New Roman" w:hAnsi="Times New Roman" w:eastAsia="Times New Roman" w:cs="Times New Roman"/>
              <w:b/>
              <w:bCs/>
              <w:spacing w:val="-2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30</w:t>
          </w:r>
        </w:p>
        <w:p w14:paraId="64B97846">
          <w:pPr>
            <w:tabs>
              <w:tab w:val="right" w:leader="dot" w:pos="8317"/>
            </w:tabs>
            <w:spacing w:before="260"/>
            <w:ind w:firstLine="444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>3.3.1 3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D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Conductive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Scaffold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Electrode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(3D-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CSE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>)</w:t>
          </w:r>
          <w:r>
            <w:rPr>
              <w:rFonts w:ascii="Times New Roman" w:hAnsi="Times New Roman" w:eastAsia="Times New Roman" w:cs="Times New Roman"/>
              <w:b/>
              <w:bCs/>
              <w:spacing w:val="-2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31</w:t>
          </w:r>
        </w:p>
        <w:p w14:paraId="3A47F0FE">
          <w:pPr>
            <w:tabs>
              <w:tab w:val="right" w:leader="dot" w:pos="8320"/>
            </w:tabs>
            <w:spacing w:before="261"/>
            <w:ind w:firstLine="41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3.3.2 Integrated Composite Network-based Electrodes (ICNEs)</w:t>
          </w:r>
          <w:r>
            <w:rPr>
              <w:rFonts w:ascii="Times New Roman" w:hAnsi="Times New Roman" w:eastAsia="Times New Roman" w:cs="Times New Roman"/>
              <w:b/>
              <w:bCs/>
              <w:spacing w:val="-20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34</w:t>
          </w:r>
        </w:p>
      </w:sdtContent>
    </w:sdt>
    <w:sdt>
      <w:sdtPr>
        <w:rPr>
          <w:rFonts w:ascii="Times New Roman" w:hAnsi="Times New Roman" w:cs="Times New Roman"/>
          <w:sz w:val="20"/>
          <w:szCs w:val="20"/>
        </w:rPr>
        <w:id w:val="3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15"/>
          <w:sz w:val="20"/>
          <w:szCs w:val="20"/>
        </w:rPr>
      </w:sdtEndPr>
      <w:sdtContent>
        <w:p w14:paraId="74F518C3">
          <w:pPr>
            <w:tabs>
              <w:tab w:val="right" w:leader="dot" w:pos="8300"/>
            </w:tabs>
            <w:spacing w:before="258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4. Recent Progress of</w:t>
          </w:r>
          <w:r>
            <w:rPr>
              <w:rFonts w:ascii="Times New Roman" w:hAnsi="Times New Roman" w:eastAsia="Times New Roman" w:cs="Times New Roman"/>
              <w:b/>
              <w:bCs/>
              <w:spacing w:val="-9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HMLEs in Advanced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 xml:space="preserve"> Secondary Batteries</w:t>
          </w:r>
          <w:r>
            <w:rPr>
              <w:rFonts w:ascii="Times New Roman" w:hAnsi="Times New Roman" w:eastAsia="Times New Roman" w:cs="Times New Roman"/>
              <w:b/>
              <w:bCs/>
              <w:spacing w:val="1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and</w:t>
          </w:r>
          <w:r>
            <w:rPr>
              <w:rFonts w:ascii="Times New Roman" w:hAnsi="Times New Roman" w:eastAsia="Times New Roman" w:cs="Times New Roman"/>
              <w:b/>
              <w:bCs/>
              <w:spacing w:val="13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Supercapacitors</w:t>
          </w:r>
          <w:r>
            <w:rPr>
              <w:rFonts w:ascii="Times New Roman" w:hAnsi="Times New Roman" w:eastAsia="Times New Roman" w:cs="Times New Roman"/>
              <w:b/>
              <w:bCs/>
              <w:spacing w:val="-32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37</w:t>
          </w:r>
        </w:p>
        <w:p w14:paraId="79C3DE88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Lithium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-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Ion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Batteries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(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LIBs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)</w:t>
          </w:r>
          <w:r>
            <w:rPr>
              <w:rFonts w:ascii="Times New Roman" w:hAnsi="Times New Roman" w:eastAsia="Times New Roman" w:cs="Times New Roman"/>
              <w:b/>
              <w:bCs/>
              <w:spacing w:val="-2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37</w:t>
          </w:r>
        </w:p>
        <w:p w14:paraId="6A3D049C">
          <w:pPr>
            <w:tabs>
              <w:tab w:val="right" w:leader="dot" w:pos="8319"/>
            </w:tabs>
            <w:spacing w:before="260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4.1.1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Anode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38</w:t>
          </w:r>
        </w:p>
        <w:p w14:paraId="41E6C298">
          <w:pPr>
            <w:tabs>
              <w:tab w:val="right" w:leader="dot" w:pos="8317"/>
            </w:tabs>
            <w:spacing w:before="263"/>
            <w:ind w:firstLine="45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4.1.2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Cathode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46</w:t>
          </w:r>
        </w:p>
        <w:p w14:paraId="4CC4069A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4.2 Sodium-Ion Batteries (SIBs)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49</w:t>
          </w:r>
        </w:p>
        <w:p w14:paraId="173E236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4.2.1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Anode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50</w:t>
          </w:r>
        </w:p>
        <w:p w14:paraId="45E1F280">
          <w:pPr>
            <w:tabs>
              <w:tab w:val="right" w:leader="dot" w:pos="8315"/>
            </w:tabs>
            <w:spacing w:before="261"/>
            <w:ind w:firstLine="456" w:firstLineChars="2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4.2.2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Cathode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Modification</w:t>
          </w:r>
          <w:r>
            <w:rPr>
              <w:rFonts w:ascii="Times New Roman" w:hAnsi="Times New Roman" w:eastAsia="Times New Roman" w:cs="Times New Roman"/>
              <w:b/>
              <w:bCs/>
              <w:spacing w:val="-34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54</w:t>
          </w:r>
        </w:p>
        <w:p w14:paraId="0820F38B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4.3 Potassium-Ion Batteries (PIBs)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56</w:t>
          </w:r>
        </w:p>
        <w:p w14:paraId="732BC335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4.4 Lithium Metal Batteries (LMBs)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58</w:t>
          </w:r>
        </w:p>
        <w:p w14:paraId="70ECAC6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4.4.1 Lithium Metal Anodes (LMAs)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58</w:t>
          </w:r>
        </w:p>
        <w:p w14:paraId="429FF29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4.4.2 Li-S Batteries (LSBs)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61</w:t>
          </w:r>
        </w:p>
        <w:p w14:paraId="0D2B7E94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4.4.3 Lithium-Air Batteries (LABs)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65</w:t>
          </w:r>
        </w:p>
        <w:p w14:paraId="58A3ABD0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4.5 Other Advanced Secondary Batteries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68</w:t>
          </w:r>
        </w:p>
        <w:p w14:paraId="1A031F4F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4.5.1 Zinc Batteries (ZBs)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68</w:t>
          </w:r>
        </w:p>
        <w:p w14:paraId="04D4DDE3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4.5.2 Aluminum-Ion Batteries (AIBs)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70</w:t>
          </w:r>
        </w:p>
        <w:p w14:paraId="75510C2D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4.5.3 Calcium-Ion Batteries (CIBs)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72</w:t>
          </w:r>
        </w:p>
        <w:p w14:paraId="414D1BD3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4.5.4 Magnesium Batteries (MBs)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73</w:t>
          </w:r>
        </w:p>
        <w:p w14:paraId="463142B2">
          <w:pPr>
            <w:tabs>
              <w:tab w:val="right" w:leader="dot" w:pos="8287"/>
            </w:tabs>
            <w:spacing w:before="240" w:beforeLines="100"/>
            <w:ind w:firstLine="228" w:firstLineChars="100"/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 xml:space="preserve">4.6 Supercapacitors (SCs) </w:t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4"/>
              <w:sz w:val="20"/>
              <w:szCs w:val="20"/>
            </w:rPr>
            <w:t>73</w:t>
          </w:r>
        </w:p>
        <w:p w14:paraId="6AD886B8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4.6.1 Porous Carbon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75</w:t>
          </w:r>
        </w:p>
        <w:p w14:paraId="0FB53BCE">
          <w:pPr>
            <w:tabs>
              <w:tab w:val="right" w:leader="dot" w:pos="8319"/>
            </w:tabs>
            <w:spacing w:before="262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4.6.2 Conducting Polymer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76</w:t>
          </w:r>
        </w:p>
        <w:p w14:paraId="36C40429">
          <w:pPr>
            <w:tabs>
              <w:tab w:val="right" w:leader="dot" w:pos="8319"/>
            </w:tabs>
            <w:spacing w:before="240" w:beforeLines="100"/>
            <w:ind w:firstLine="46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 xml:space="preserve">4.6.3 2D Conductive Materials 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77</w:t>
          </w:r>
        </w:p>
      </w:sdtContent>
    </w:sdt>
    <w:sdt>
      <w:sdtPr>
        <w:rPr>
          <w:rFonts w:ascii="Times New Roman" w:hAnsi="Times New Roman" w:eastAsia="Times New Roman" w:cs="Times New Roman"/>
          <w:sz w:val="20"/>
          <w:szCs w:val="20"/>
        </w:rPr>
        <w:id w:val="4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/>
          <w:bCs/>
          <w:spacing w:val="15"/>
          <w:sz w:val="20"/>
          <w:szCs w:val="20"/>
        </w:rPr>
      </w:sdtEndPr>
      <w:sdtContent>
        <w:p w14:paraId="18E066D3">
          <w:pPr>
            <w:tabs>
              <w:tab w:val="right" w:leader="dot" w:pos="8319"/>
            </w:tabs>
            <w:spacing w:before="240" w:beforeLines="100"/>
            <w:ind w:firstLine="400" w:firstLineChars="200"/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4.6.4 Metal-based Pesudocapacitive Materials</w:t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15"/>
              <w:sz w:val="20"/>
              <w:szCs w:val="20"/>
            </w:rPr>
            <w:t>79</w:t>
          </w:r>
        </w:p>
      </w:sdtContent>
    </w:sdt>
    <w:sdt>
      <w:sdtPr>
        <w:rPr>
          <w:rFonts w:ascii="Times New Roman" w:hAnsi="Times New Roman" w:cs="Times New Roman"/>
          <w:sz w:val="20"/>
          <w:szCs w:val="20"/>
        </w:rPr>
        <w:id w:val="5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0"/>
          <w:szCs w:val="20"/>
        </w:rPr>
      </w:sdtEndPr>
      <w:sdtContent>
        <w:p w14:paraId="73D55C87">
          <w:pPr>
            <w:tabs>
              <w:tab w:val="right" w:leader="dot" w:pos="8315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5. Challenge and</w:t>
          </w:r>
          <w:r>
            <w:rPr>
              <w:rFonts w:ascii="Times New Roman" w:hAnsi="Times New Roman" w:eastAsia="Times New Roman" w:cs="Times New Roman"/>
              <w:b/>
              <w:bCs/>
              <w:spacing w:val="7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Perspective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81</w:t>
          </w:r>
        </w:p>
        <w:p w14:paraId="5B4BA9DE">
          <w:pPr>
            <w:tabs>
              <w:tab w:val="right" w:leader="dot" w:pos="8317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17"/>
              <w:sz w:val="20"/>
              <w:szCs w:val="20"/>
            </w:rPr>
            <w:t>6.</w:t>
          </w:r>
          <w:r>
            <w:rPr>
              <w:rFonts w:ascii="Times New Roman" w:hAnsi="Times New Roman" w:eastAsia="宋体" w:cs="Times New Roman"/>
              <w:b/>
              <w:bCs/>
              <w:spacing w:val="9"/>
              <w:sz w:val="20"/>
              <w:szCs w:val="20"/>
              <w:lang w:eastAsia="zh-CN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>Conclusion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87</w:t>
          </w:r>
        </w:p>
        <w:p w14:paraId="00C08930">
          <w:pPr>
            <w:tabs>
              <w:tab w:val="right" w:leader="dot" w:pos="8272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Abbreviations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87</w:t>
          </w:r>
        </w:p>
        <w:p w14:paraId="755B9A40">
          <w:pPr>
            <w:tabs>
              <w:tab w:val="right" w:leader="dot" w:pos="8319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5"/>
              <w:sz w:val="20"/>
              <w:szCs w:val="20"/>
            </w:rPr>
            <w:t>Acknowledgements</w:t>
          </w:r>
          <w:r>
            <w:rPr>
              <w:rFonts w:ascii="Times New Roman" w:hAnsi="Times New Roman" w:eastAsia="Times New Roman" w:cs="Times New Roman"/>
              <w:b/>
              <w:bCs/>
              <w:spacing w:val="19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88</w:t>
          </w:r>
        </w:p>
        <w:p w14:paraId="563982B5">
          <w:pPr>
            <w:tabs>
              <w:tab w:val="right" w:leader="dot" w:pos="8315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Conflicts</w:t>
          </w:r>
          <w:r>
            <w:rPr>
              <w:rFonts w:ascii="Times New Roman" w:hAnsi="Times New Roman" w:eastAsia="Times New Roman" w:cs="Times New Roman"/>
              <w:b/>
              <w:bCs/>
              <w:spacing w:val="36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of interest/Competing</w:t>
          </w:r>
          <w:r>
            <w:rPr>
              <w:rFonts w:ascii="Times New Roman" w:hAnsi="Times New Roman" w:eastAsia="Times New Roman" w:cs="Times New Roman"/>
              <w:b/>
              <w:bCs/>
              <w:spacing w:val="25"/>
              <w:w w:val="101"/>
              <w:sz w:val="20"/>
              <w:szCs w:val="20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interests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89</w:t>
          </w:r>
        </w:p>
        <w:p w14:paraId="77585010">
          <w:pPr>
            <w:tabs>
              <w:tab w:val="right" w:leader="dot" w:pos="8319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Authors’contributions</w:t>
          </w:r>
          <w:r>
            <w:rPr>
              <w:rFonts w:ascii="Times New Roman" w:hAnsi="Times New Roman" w:eastAsia="宋体" w:cs="Times New Roman"/>
              <w:b/>
              <w:bCs/>
              <w:spacing w:val="4"/>
              <w:sz w:val="20"/>
              <w:szCs w:val="20"/>
              <w:lang w:eastAsia="zh-CN"/>
            </w:rPr>
            <w:t xml:space="preserve"> 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6"/>
              <w:sz w:val="20"/>
              <w:szCs w:val="20"/>
            </w:rPr>
            <w:t>89</w:t>
          </w:r>
        </w:p>
        <w:p w14:paraId="12046EC0">
          <w:pPr>
            <w:tabs>
              <w:tab w:val="right" w:leader="dot" w:pos="8292"/>
            </w:tabs>
            <w:spacing w:before="240" w:beforeLines="100"/>
            <w:rPr>
              <w:rFonts w:ascii="Times New Roman" w:hAnsi="Times New Roman" w:eastAsia="Times New Roman" w:cs="Times New Roman"/>
              <w:sz w:val="20"/>
              <w:szCs w:val="20"/>
            </w:rPr>
          </w:pP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References</w:t>
          </w:r>
          <w:r>
            <w:rPr>
              <w:rFonts w:ascii="Times New Roman" w:hAnsi="Times New Roman" w:eastAsia="Times New Roman" w:cs="Times New Roman"/>
              <w:b/>
              <w:bCs/>
              <w:sz w:val="20"/>
              <w:szCs w:val="20"/>
            </w:rPr>
            <w:tab/>
          </w:r>
          <w:r>
            <w:rPr>
              <w:rFonts w:ascii="Times New Roman" w:hAnsi="Times New Roman" w:eastAsia="Times New Roman" w:cs="Times New Roman"/>
              <w:b/>
              <w:bCs/>
              <w:spacing w:val="4"/>
              <w:sz w:val="20"/>
              <w:szCs w:val="20"/>
            </w:rPr>
            <w:t>90</w:t>
          </w:r>
        </w:p>
      </w:sdtContent>
    </w:sdt>
    <w:p w14:paraId="4F1975D2">
      <w:pPr>
        <w:spacing w:before="240" w:beforeLines="100"/>
        <w:rPr>
          <w:rFonts w:ascii="Times New Roman" w:hAnsi="Times New Roman" w:cs="Times New Roman"/>
        </w:rPr>
      </w:pPr>
    </w:p>
    <w:p w14:paraId="1EC9CA5D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文本</w:t>
      </w:r>
    </w:p>
    <w:p w14:paraId="3E6519CB">
      <w:pPr>
        <w:pStyle w:val="12"/>
        <w:numPr>
          <w:ilvl w:val="1"/>
          <w:numId w:val="1"/>
        </w:numPr>
        <w:spacing w:line="360" w:lineRule="auto"/>
        <w:jc w:val="both"/>
      </w:pPr>
      <w:r>
        <w:rPr>
          <w:rFonts w:hint="eastAsia"/>
        </w:rPr>
        <w:t>文本格式</w:t>
      </w:r>
    </w:p>
    <w:p w14:paraId="479B4994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稿件应以</w:t>
      </w:r>
      <w:r>
        <w:rPr>
          <w:rFonts w:ascii="Times New Roman" w:hAnsi="Times New Roman" w:cs="Times New Roman"/>
          <w:szCs w:val="20"/>
        </w:rPr>
        <w:t>Word</w:t>
      </w:r>
      <w:r>
        <w:rPr>
          <w:rFonts w:ascii="宋体" w:hAnsi="宋体"/>
        </w:rPr>
        <w:t>格式提交。使用</w:t>
      </w:r>
      <w:r>
        <w:rPr>
          <w:rFonts w:hint="eastAsia" w:ascii="宋体" w:hAnsi="宋体"/>
        </w:rPr>
        <w:t>标准的</w:t>
      </w:r>
      <w:r>
        <w:rPr>
          <w:rFonts w:ascii="宋体" w:hAnsi="宋体"/>
        </w:rPr>
        <w:t>、</w:t>
      </w:r>
      <w:r>
        <w:rPr>
          <w:rFonts w:hint="eastAsia" w:ascii="宋体" w:hAnsi="宋体"/>
        </w:rPr>
        <w:t>无装饰的</w:t>
      </w:r>
      <w:r>
        <w:rPr>
          <w:rFonts w:ascii="宋体" w:hAnsi="宋体"/>
        </w:rPr>
        <w:t>字体(例如，10号的</w:t>
      </w:r>
      <w:r>
        <w:rPr>
          <w:rFonts w:ascii="Times New Roman" w:hAnsi="Times New Roman" w:cs="Times New Roman"/>
        </w:rPr>
        <w:t>Times New Roman</w:t>
      </w:r>
      <w:r>
        <w:rPr>
          <w:rFonts w:ascii="宋体" w:hAnsi="宋体"/>
        </w:rPr>
        <w:t>)作为文本。</w:t>
      </w:r>
    </w:p>
    <w:p w14:paraId="2B627B86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使用斜体强调。</w:t>
      </w:r>
    </w:p>
    <w:p w14:paraId="7C298577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使用自动页码功能对页面进行编号。</w:t>
      </w:r>
    </w:p>
    <w:p w14:paraId="5FF21280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不要使用字段函数。</w:t>
      </w:r>
    </w:p>
    <w:p w14:paraId="64BCA478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使用制表位或其他命令来缩进，而不是空格键。</w:t>
      </w:r>
    </w:p>
    <w:p w14:paraId="33FE85FB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使用表格函数来制作表格，而不是电子表格。</w:t>
      </w:r>
    </w:p>
    <w:p w14:paraId="4666C7B9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使用等式编辑器或</w:t>
      </w:r>
      <w:r>
        <w:rPr>
          <w:rFonts w:ascii="Times New Roman" w:hAnsi="Times New Roman" w:cs="Times New Roman"/>
          <w:szCs w:val="20"/>
          <w:lang w:eastAsia="zh-CN"/>
        </w:rPr>
        <w:t>MathType</w:t>
      </w:r>
      <w:r>
        <w:rPr>
          <w:rFonts w:ascii="宋体" w:hAnsi="宋体"/>
          <w:lang w:eastAsia="zh-CN"/>
        </w:rPr>
        <w:t>来处理等式。</w:t>
      </w:r>
    </w:p>
    <w:p w14:paraId="7008E05E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将文件保存为</w:t>
      </w:r>
      <w:r>
        <w:rPr>
          <w:rFonts w:ascii="Times New Roman" w:hAnsi="Times New Roman" w:cs="Times New Roman"/>
          <w:szCs w:val="20"/>
        </w:rPr>
        <w:t>docx</w:t>
      </w:r>
      <w:r>
        <w:rPr>
          <w:rFonts w:ascii="宋体" w:hAnsi="宋体"/>
        </w:rPr>
        <w:t>格式(</w:t>
      </w:r>
      <w:r>
        <w:rPr>
          <w:rFonts w:ascii="Times New Roman" w:hAnsi="Times New Roman" w:cs="Times New Roman"/>
          <w:szCs w:val="20"/>
        </w:rPr>
        <w:t>Word 2007</w:t>
      </w:r>
      <w:r>
        <w:rPr>
          <w:rFonts w:ascii="宋体" w:hAnsi="宋体"/>
        </w:rPr>
        <w:t>或更高版本)或</w:t>
      </w:r>
      <w:r>
        <w:rPr>
          <w:rFonts w:ascii="Times New Roman" w:hAnsi="Times New Roman" w:cs="Times New Roman"/>
          <w:szCs w:val="20"/>
        </w:rPr>
        <w:t>doc</w:t>
      </w:r>
      <w:r>
        <w:rPr>
          <w:rFonts w:ascii="宋体" w:hAnsi="宋体"/>
        </w:rPr>
        <w:t>格式(旧的</w:t>
      </w:r>
      <w:r>
        <w:rPr>
          <w:rFonts w:ascii="Times New Roman" w:hAnsi="Times New Roman" w:cs="Times New Roman"/>
          <w:szCs w:val="20"/>
        </w:rPr>
        <w:t>Word</w:t>
      </w:r>
      <w:r>
        <w:rPr>
          <w:rFonts w:ascii="宋体" w:hAnsi="宋体"/>
        </w:rPr>
        <w:t>版本)。</w:t>
      </w:r>
    </w:p>
    <w:p w14:paraId="1F946006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标题</w:t>
      </w:r>
    </w:p>
    <w:p w14:paraId="1A3492FC">
      <w:pPr>
        <w:spacing w:line="360" w:lineRule="auto"/>
        <w:rPr>
          <w:rFonts w:ascii="宋体" w:hAnsi="宋体"/>
          <w:lang w:eastAsia="zh-CN"/>
        </w:rPr>
      </w:pPr>
      <w:r>
        <w:rPr>
          <w:rFonts w:hint="eastAsia" w:ascii="宋体" w:hAnsi="宋体"/>
          <w:lang w:eastAsia="zh-CN"/>
        </w:rPr>
        <w:t>请使用不超过三级的十进制标题系统。</w:t>
      </w:r>
    </w:p>
    <w:p w14:paraId="6DF787F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缩写</w:t>
      </w:r>
    </w:p>
    <w:p w14:paraId="4C28E8D3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缩写应在第一次提到时定义，此后一直使用。</w:t>
      </w:r>
    </w:p>
    <w:p w14:paraId="5878C07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致谢</w:t>
      </w:r>
    </w:p>
    <w:p w14:paraId="2B7D7372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致谢中，对人、基金等信息，应放在参考书目前的单独部分。资助机构的名称应全称填写。</w:t>
      </w:r>
    </w:p>
    <w:p w14:paraId="06C2B5CF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利益冲突</w:t>
      </w:r>
    </w:p>
    <w:p w14:paraId="76C56E0F">
      <w:pPr>
        <w:spacing w:line="360" w:lineRule="auto"/>
        <w:ind w:firstLine="420" w:firstLineChars="2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Cs w:val="20"/>
          <w:lang w:eastAsia="zh-CN"/>
        </w:rPr>
        <w:t>EER</w:t>
      </w:r>
      <w:r>
        <w:rPr>
          <w:lang w:eastAsia="zh-CN"/>
        </w:rPr>
        <w:t>遵守一些必要的原则，以确保同行评议过程的公平</w:t>
      </w:r>
      <w:r>
        <w:rPr>
          <w:rFonts w:hint="eastAsia"/>
          <w:lang w:eastAsia="zh-CN"/>
        </w:rPr>
        <w:t>公正。</w:t>
      </w:r>
      <w:r>
        <w:rPr>
          <w:lang w:eastAsia="zh-CN"/>
        </w:rPr>
        <w:t>例如，</w:t>
      </w:r>
      <w:r>
        <w:rPr>
          <w:rFonts w:hint="eastAsia"/>
          <w:lang w:eastAsia="zh-CN"/>
        </w:rPr>
        <w:t>编委会</w:t>
      </w:r>
      <w:r>
        <w:rPr>
          <w:lang w:eastAsia="zh-CN"/>
        </w:rPr>
        <w:t>成员不应参与他们撰写或合著的任何论文的同行评议过程。对于那些确实包含作为作者的委员会成员的投稿，有必要在利益冲突部分添加“委员会成员声明”，应说明如下: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“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XX</w:t>
      </w:r>
      <w:r>
        <w:rPr>
          <w:rFonts w:ascii="Times New Roman" w:hAnsi="Times New Roman" w:cs="Times New Roman"/>
          <w:color w:val="303030"/>
          <w:spacing w:val="23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is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an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editorial</w:t>
      </w:r>
      <w:r>
        <w:rPr>
          <w:rFonts w:ascii="Times New Roman" w:hAnsi="Times New Roman" w:cs="Times New Roman"/>
          <w:color w:val="303030"/>
          <w:spacing w:val="2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board</w:t>
      </w:r>
      <w:r>
        <w:rPr>
          <w:rFonts w:ascii="Times New Roman" w:hAnsi="Times New Roman" w:cs="Times New Roman"/>
          <w:color w:val="303030"/>
          <w:spacing w:val="2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member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/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editor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-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in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-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chief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for</w:t>
      </w:r>
      <w:r>
        <w:rPr>
          <w:rFonts w:ascii="Times New Roman" w:hAnsi="Times New Roman" w:cs="Times New Roman"/>
          <w:color w:val="303030"/>
          <w:spacing w:val="24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>[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journal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]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and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>was</w:t>
      </w:r>
      <w:r>
        <w:rPr>
          <w:rFonts w:ascii="Times New Roman" w:hAnsi="Times New Roman" w:cs="Times New Roman"/>
          <w:color w:val="303030"/>
          <w:spacing w:val="20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z w:val="20"/>
          <w:szCs w:val="20"/>
          <w:lang w:eastAsia="zh-CN"/>
        </w:rPr>
        <w:t xml:space="preserve">not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involved</w:t>
      </w:r>
      <w:r>
        <w:rPr>
          <w:rFonts w:ascii="Times New Roman" w:hAnsi="Times New Roman" w:cs="Times New Roman"/>
          <w:color w:val="303030"/>
          <w:spacing w:val="42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in</w:t>
      </w:r>
      <w:r>
        <w:rPr>
          <w:rFonts w:ascii="Times New Roman" w:hAnsi="Times New Roman" w:cs="Times New Roman"/>
          <w:color w:val="303030"/>
          <w:spacing w:val="29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the</w:t>
      </w:r>
      <w:r>
        <w:rPr>
          <w:rFonts w:ascii="Times New Roman" w:hAnsi="Times New Roman" w:cs="Times New Roman"/>
          <w:color w:val="303030"/>
          <w:spacing w:val="33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editorial</w:t>
      </w:r>
      <w:r>
        <w:rPr>
          <w:rFonts w:ascii="Times New Roman" w:hAnsi="Times New Roman" w:cs="Times New Roman"/>
          <w:color w:val="303030"/>
          <w:spacing w:val="40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review</w:t>
      </w:r>
      <w:r>
        <w:rPr>
          <w:rFonts w:ascii="Times New Roman" w:hAnsi="Times New Roman" w:cs="Times New Roman"/>
          <w:color w:val="303030"/>
          <w:spacing w:val="35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or</w:t>
      </w:r>
      <w:r>
        <w:rPr>
          <w:rFonts w:ascii="Times New Roman" w:hAnsi="Times New Roman" w:cs="Times New Roman"/>
          <w:color w:val="303030"/>
          <w:spacing w:val="26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the</w:t>
      </w:r>
      <w:r>
        <w:rPr>
          <w:rFonts w:ascii="Times New Roman" w:hAnsi="Times New Roman" w:cs="Times New Roman"/>
          <w:color w:val="303030"/>
          <w:spacing w:val="3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decision</w:t>
      </w:r>
      <w:r>
        <w:rPr>
          <w:rFonts w:ascii="Times New Roman" w:hAnsi="Times New Roman" w:cs="Times New Roman"/>
          <w:color w:val="303030"/>
          <w:spacing w:val="3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to</w:t>
      </w:r>
      <w:r>
        <w:rPr>
          <w:rFonts w:ascii="Times New Roman" w:hAnsi="Times New Roman" w:cs="Times New Roman"/>
          <w:color w:val="303030"/>
          <w:spacing w:val="39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publish</w:t>
      </w:r>
      <w:r>
        <w:rPr>
          <w:rFonts w:ascii="Times New Roman" w:hAnsi="Times New Roman" w:cs="Times New Roman"/>
          <w:color w:val="303030"/>
          <w:spacing w:val="29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this</w:t>
      </w:r>
      <w:r>
        <w:rPr>
          <w:rFonts w:ascii="Times New Roman" w:hAnsi="Times New Roman" w:cs="Times New Roman"/>
          <w:color w:val="303030"/>
          <w:spacing w:val="3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  <w:lang w:eastAsia="zh-CN"/>
        </w:rPr>
        <w:t>article.</w:t>
      </w:r>
      <w:r>
        <w:rPr>
          <w:rFonts w:ascii="Times New Roman" w:hAnsi="Times New Roman" w:cs="Times New Roman"/>
          <w:color w:val="303030"/>
          <w:spacing w:val="28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All</w:t>
      </w:r>
      <w:r>
        <w:rPr>
          <w:rFonts w:ascii="Times New Roman" w:hAnsi="Times New Roman" w:cs="Times New Roman"/>
          <w:color w:val="303030"/>
          <w:spacing w:val="33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autho</w:t>
      </w:r>
      <w:r>
        <w:rPr>
          <w:rFonts w:ascii="Times New Roman" w:hAnsi="Times New Roman" w:cs="Times New Roman"/>
          <w:color w:val="303030"/>
          <w:spacing w:val="2"/>
          <w:sz w:val="20"/>
          <w:szCs w:val="20"/>
        </w:rPr>
        <w:t>rs</w:t>
      </w:r>
      <w:r>
        <w:rPr>
          <w:rFonts w:ascii="Times New Roman" w:hAnsi="Times New Roman" w:cs="Times New Roman"/>
          <w:color w:val="30303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declare that there are</w:t>
      </w:r>
      <w:r>
        <w:rPr>
          <w:rFonts w:ascii="Times New Roman" w:hAnsi="Times New Roman" w:cs="Times New Roman"/>
          <w:color w:val="303030"/>
          <w:spacing w:val="22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no competing</w:t>
      </w:r>
      <w:r>
        <w:rPr>
          <w:rFonts w:ascii="Times New Roman" w:hAnsi="Times New Roman" w:cs="Times New Roman"/>
          <w:color w:val="303030"/>
          <w:spacing w:val="22"/>
          <w:w w:val="10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4"/>
          <w:sz w:val="20"/>
          <w:szCs w:val="20"/>
        </w:rPr>
        <w:t>intere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sts”</w:t>
      </w:r>
      <w:r>
        <w:rPr>
          <w:rFonts w:ascii="Times New Roman" w:hAnsi="Times New Roman" w:cs="Times New Roman"/>
          <w:color w:val="303030"/>
          <w:spacing w:val="-4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303030"/>
          <w:spacing w:val="3"/>
          <w:sz w:val="20"/>
          <w:szCs w:val="20"/>
        </w:rPr>
        <w:t>.</w:t>
      </w:r>
      <w:r>
        <w:rPr>
          <w:rFonts w:hint="eastAsia"/>
        </w:rPr>
        <w:t>更详细的说明参考以下链接：</w:t>
      </w:r>
      <w:r>
        <w:fldChar w:fldCharType="begin"/>
      </w:r>
      <w:r>
        <w:instrText xml:space="preserve"> HYPERLINK "https://link.springer.com/article/10.1007/s44214-023-00026-0%23ethics" </w:instrText>
      </w:r>
      <w:r>
        <w:fldChar w:fldCharType="separate"/>
      </w:r>
      <w:r>
        <w:rPr>
          <w:rStyle w:val="9"/>
          <w:rFonts w:ascii="Times New Roman" w:hAnsi="Times New Roman" w:cs="Times New Roman"/>
        </w:rPr>
        <w:t>https://link.springer.com/article/10.1007/s44214-023-00026-0#ethics</w:t>
      </w:r>
      <w:r>
        <w:rPr>
          <w:rStyle w:val="9"/>
          <w:rFonts w:ascii="Times New Roman" w:hAnsi="Times New Roman" w:cs="Times New Roman"/>
        </w:rPr>
        <w:fldChar w:fldCharType="end"/>
      </w:r>
    </w:p>
    <w:p w14:paraId="0F1C2791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参考文献</w:t>
      </w:r>
    </w:p>
    <w:p w14:paraId="4626B1BA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引用</w:t>
      </w:r>
    </w:p>
    <w:p w14:paraId="557D146C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参考文献引用请使用</w:t>
      </w:r>
      <w:r>
        <w:rPr>
          <w:rFonts w:ascii="Times New Roman" w:hAnsi="Times New Roman" w:cs="Times New Roman"/>
          <w:color w:val="FF0000"/>
          <w:lang w:eastAsia="zh-CN"/>
        </w:rPr>
        <w:t>MathPhys</w:t>
      </w:r>
      <w:r>
        <w:rPr>
          <w:rFonts w:hint="eastAsia"/>
          <w:lang w:eastAsia="zh-CN"/>
        </w:rPr>
        <w:t>格式。</w:t>
      </w:r>
    </w:p>
    <w:p w14:paraId="3A8543A2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文本中的参考引文应以方括号内的数字标识。</w:t>
      </w:r>
    </w:p>
    <w:p w14:paraId="258073DF">
      <w:pPr>
        <w:spacing w:line="360" w:lineRule="auto"/>
      </w:pPr>
      <w:r>
        <w:rPr>
          <w:rFonts w:hint="eastAsia"/>
        </w:rPr>
        <w:t>例:</w:t>
      </w:r>
    </w:p>
    <w:p w14:paraId="4BE9F991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1. Negotiation research spans many disciplines [1,2].</w:t>
      </w:r>
    </w:p>
    <w:p w14:paraId="6A181B6C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2. This result was later contradicted by Becker and Seligman [3].</w:t>
      </w:r>
    </w:p>
    <w:p w14:paraId="39E0DFB7">
      <w:pPr>
        <w:pStyle w:val="2"/>
        <w:spacing w:before="240" w:beforeLines="100" w:line="360" w:lineRule="auto"/>
        <w:rPr>
          <w:rFonts w:ascii="Times New Roman" w:hAnsi="Times New Roman" w:cs="Times New Roman"/>
          <w:color w:val="303030"/>
          <w:position w:val="3"/>
          <w:sz w:val="20"/>
          <w:szCs w:val="20"/>
        </w:rPr>
      </w:pPr>
      <w:r>
        <w:rPr>
          <w:rFonts w:ascii="Times New Roman" w:hAnsi="Times New Roman" w:cs="Times New Roman"/>
          <w:color w:val="303030"/>
          <w:position w:val="3"/>
          <w:sz w:val="20"/>
          <w:szCs w:val="20"/>
        </w:rPr>
        <w:t>3. This effect has been widely studied [4-8].</w:t>
      </w:r>
    </w:p>
    <w:p w14:paraId="02F35563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参考文献列表</w:t>
      </w:r>
    </w:p>
    <w:p w14:paraId="4C1F6BA4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参考文献列表应只包括在文本中被引用的作品，以及已经出版或被接受出版的作品。个人通信和未发表的作品只能在文本中提及。不要用脚注或尾注代替参考书目。列表中的条目应连续编号。为了更准确地了解我们的参考风格，建议您阅读我们期刊中的一个例子：</w:t>
      </w:r>
    </w:p>
    <w:p w14:paraId="6C7140A7">
      <w:pPr>
        <w:spacing w:line="360" w:lineRule="auto"/>
        <w:rPr>
          <w:rFonts w:ascii="Times New Roman" w:hAnsi="Times New Roman" w:cs="Times New Roman"/>
        </w:rPr>
      </w:pPr>
      <w:r>
        <w:fldChar w:fldCharType="begin"/>
      </w:r>
      <w:r>
        <w:instrText xml:space="preserve"> HYPERLINK "https://link.springer.com/article/10.1007/s41918-023-00184-8" </w:instrText>
      </w:r>
      <w:r>
        <w:fldChar w:fldCharType="separate"/>
      </w:r>
      <w:r>
        <w:rPr>
          <w:rStyle w:val="9"/>
          <w:rFonts w:ascii="Times New Roman" w:hAnsi="Times New Roman" w:cs="Times New Roman"/>
        </w:rPr>
        <w:t>https://link.springer.com/article/10.1007/s41918-023-00184-8</w:t>
      </w:r>
      <w:r>
        <w:rPr>
          <w:rStyle w:val="9"/>
          <w:rFonts w:ascii="Times New Roman" w:hAnsi="Times New Roman" w:cs="Times New Roman"/>
        </w:rPr>
        <w:fldChar w:fldCharType="end"/>
      </w:r>
    </w:p>
    <w:p w14:paraId="4FCA41D9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期刊论文</w:t>
      </w:r>
    </w:p>
    <w:p w14:paraId="1D4D135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Scrosati, B., Garche, J.: Lithium batteries: status, prospects and future. J. Power Sources 195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>,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2419– 2430 (2010).</w:t>
      </w:r>
    </w:p>
    <w:p w14:paraId="30EC1E4A">
      <w:pPr>
        <w:spacing w:line="360" w:lineRule="auto"/>
        <w:rPr>
          <w:rFonts w:ascii="Times New Roman" w:hAnsi="Times New Roman" w:cs="Times New Roman"/>
          <w:color w:val="303030"/>
          <w:szCs w:val="20"/>
          <w:lang w:eastAsia="zh-CN"/>
        </w:rPr>
      </w:pPr>
      <w:r>
        <w:rPr>
          <w:rFonts w:hint="eastAsia" w:ascii="Times New Roman" w:hAnsi="Times New Roman" w:cs="Times New Roman"/>
          <w:color w:val="303030"/>
          <w:szCs w:val="20"/>
          <w:lang w:eastAsia="zh-CN"/>
        </w:rPr>
        <w:t>当有三个以上的作者时，使用“</w:t>
      </w:r>
      <w:r>
        <w:rPr>
          <w:rFonts w:ascii="Times New Roman" w:hAnsi="Times New Roman" w:cs="Times New Roman"/>
          <w:szCs w:val="20"/>
          <w:lang w:eastAsia="zh-CN"/>
        </w:rPr>
        <w:t>et al</w:t>
      </w:r>
      <w:r>
        <w:rPr>
          <w:rFonts w:ascii="Times New Roman" w:hAnsi="Times New Roman" w:cs="Times New Roman"/>
          <w:color w:val="303030"/>
          <w:szCs w:val="20"/>
          <w:lang w:eastAsia="zh-CN"/>
        </w:rPr>
        <w:t>”</w:t>
      </w:r>
      <w:r>
        <w:rPr>
          <w:rFonts w:hint="eastAsia" w:ascii="Times New Roman" w:hAnsi="Times New Roman" w:cs="Times New Roman"/>
          <w:color w:val="303030"/>
          <w:szCs w:val="20"/>
          <w:lang w:eastAsia="zh-CN"/>
        </w:rPr>
        <w:t>代替较长的作者列表</w:t>
      </w:r>
      <w:r>
        <w:rPr>
          <w:rFonts w:ascii="Times New Roman" w:hAnsi="Times New Roman" w:cs="Times New Roman"/>
          <w:color w:val="303030"/>
          <w:szCs w:val="20"/>
          <w:lang w:eastAsia="zh-CN"/>
        </w:rPr>
        <w:t>:</w:t>
      </w:r>
    </w:p>
    <w:p w14:paraId="6D52D85E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Chan,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C.K.,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Ruffo,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R.,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Hong,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S.S.,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et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al: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Surface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chemistry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and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morphology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of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the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solid electrolyte interphase on silicon nanowire lithium-ion battery anodes. J. Power Sources 189,1132– 1140 (2009).</w:t>
      </w:r>
    </w:p>
    <w:p w14:paraId="1E438609">
      <w:pPr>
        <w:pStyle w:val="2"/>
        <w:numPr>
          <w:ilvl w:val="1"/>
          <w:numId w:val="1"/>
        </w:numPr>
        <w:spacing w:before="240" w:beforeLines="100"/>
        <w:rPr>
          <w:rFonts w:ascii="Times New Roman" w:hAnsi="Times New Roman" w:cs="Times New Roman"/>
          <w:color w:val="303030"/>
          <w:spacing w:val="4"/>
          <w:sz w:val="20"/>
          <w:szCs w:val="20"/>
          <w:u w:val="single"/>
        </w:rPr>
      </w:pPr>
      <w:r>
        <w:rPr>
          <w:rFonts w:ascii="Times New Roman" w:hAnsi="Times New Roman" w:eastAsia="Arial" w:cs="Times New Roman"/>
          <w:sz w:val="20"/>
          <w:szCs w:val="20"/>
          <w:u w:val="single"/>
        </w:rPr>
        <w:t>DOI</w:t>
      </w:r>
    </w:p>
    <w:p w14:paraId="1F79D2B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Slifka, M.K., Whitton, J.L.: Clinical implications of dysregulated cytokine production. J. Mol.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Med.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 xml:space="preserve">78, 74–80 (2000). </w:t>
      </w:r>
      <w:r>
        <w:fldChar w:fldCharType="begin"/>
      </w:r>
      <w:r>
        <w:instrText xml:space="preserve"> HYPERLINK "https://doi.org/10.1007/s001090000086" </w:instrText>
      </w:r>
      <w:r>
        <w:fldChar w:fldCharType="separate"/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https://doi.org/10.1007/s001090000086</w:t>
      </w: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fldChar w:fldCharType="end"/>
      </w:r>
    </w:p>
    <w:p w14:paraId="1F95D9AD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著作</w:t>
      </w:r>
    </w:p>
    <w:p w14:paraId="52CC8CDA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Geddes, K.O., Czapor, S.R., Labahn, G.: Algorithms for Computer Algebra. Kluwer, Boston(1992)</w:t>
      </w:r>
    </w:p>
    <w:p w14:paraId="0C445A38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章节</w:t>
      </w:r>
    </w:p>
    <w:p w14:paraId="3545D3B6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20"/>
          <w:szCs w:val="20"/>
        </w:rPr>
        <w:t>Broy, M.: Software engineering–from auxiliary to key technologies. In: Broy, M., Denert, E.(eds.) Software Pioneers, pp. 10–13. Springer, New York (2002)</w:t>
      </w:r>
    </w:p>
    <w:p w14:paraId="52D7BDE4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在线文档</w:t>
      </w:r>
    </w:p>
    <w:p w14:paraId="399CA653">
      <w:pPr>
        <w:spacing w:before="240" w:beforeLines="100"/>
        <w:rPr>
          <w:rFonts w:ascii="Times New Roman" w:hAnsi="Times New Roman" w:cs="Times New Roman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Cartwright,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J.: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Big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stars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have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weather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too.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IOP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Publishing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PhysicsWeb.</w:t>
      </w:r>
      <w:r>
        <w:rPr>
          <w:rFonts w:hint="eastAsia" w:ascii="Times New Roman" w:hAnsi="Times New Roman" w:eastAsia="微软雅黑" w:cs="Times New Roman"/>
          <w:color w:val="0E096D"/>
          <w:position w:val="22"/>
          <w:sz w:val="18"/>
          <w:szCs w:val="18"/>
          <w:lang w:eastAsia="zh-CN"/>
        </w:rPr>
        <w:t xml:space="preserve"> </w:t>
      </w:r>
      <w:r>
        <w:fldChar w:fldCharType="begin"/>
      </w:r>
      <w:r>
        <w:instrText xml:space="preserve"> HYPERLINK "http://physicsweb.org/articles/news/11/6/16/1" </w:instrText>
      </w:r>
      <w:r>
        <w:fldChar w:fldCharType="separate"/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http://physicsweb.org/articles/news/11/6/16/1</w:t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fldChar w:fldCharType="end"/>
      </w: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 xml:space="preserve"> (2007). Accessed 26 June 2007</w:t>
      </w:r>
    </w:p>
    <w:p w14:paraId="49A59777">
      <w:pPr>
        <w:pStyle w:val="12"/>
        <w:numPr>
          <w:ilvl w:val="1"/>
          <w:numId w:val="1"/>
        </w:numPr>
        <w:spacing w:line="360" w:lineRule="auto"/>
      </w:pPr>
      <w:r>
        <w:rPr>
          <w:rFonts w:hint="eastAsia"/>
        </w:rPr>
        <w:t>学位论文</w:t>
      </w:r>
    </w:p>
    <w:p w14:paraId="70B09DD9">
      <w:pPr>
        <w:spacing w:before="240" w:beforeLines="100"/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</w:pPr>
      <w:r>
        <w:rPr>
          <w:rFonts w:ascii="Times New Roman" w:hAnsi="Times New Roman" w:eastAsia="微软雅黑" w:cs="Times New Roman"/>
          <w:color w:val="0E096D"/>
          <w:position w:val="22"/>
          <w:sz w:val="18"/>
          <w:szCs w:val="18"/>
        </w:rPr>
        <w:t>Trent, J.W.: Experimental acute renal failure. Dissertation, University of California (1975)</w:t>
      </w:r>
    </w:p>
    <w:p w14:paraId="42A48412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表格</w:t>
      </w:r>
    </w:p>
    <w:p w14:paraId="3C6B724B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所有表格都用阿拉伯数字编号。引用的表格应按连续的数字顺序排列。对于每个表格，请提供一个表格说明</w:t>
      </w:r>
      <w:r>
        <w:rPr>
          <w:lang w:eastAsia="zh-CN"/>
        </w:rPr>
        <w:t>(标题)，解释表格的组成部分。通过在表格标题的末尾以参考文献的形式给出原始来源</w:t>
      </w:r>
      <w:r>
        <w:rPr>
          <w:rFonts w:hint="eastAsia"/>
          <w:lang w:eastAsia="zh-CN"/>
        </w:rPr>
        <w:t>，区</w:t>
      </w:r>
      <w:r>
        <w:rPr>
          <w:lang w:eastAsia="zh-CN"/>
        </w:rPr>
        <w:t>别</w:t>
      </w:r>
      <w:r>
        <w:rPr>
          <w:rFonts w:hint="eastAsia"/>
          <w:lang w:eastAsia="zh-CN"/>
        </w:rPr>
        <w:t>已</w:t>
      </w:r>
      <w:r>
        <w:rPr>
          <w:lang w:eastAsia="zh-CN"/>
        </w:rPr>
        <w:t>发表的材料。表格的脚注应用上标小写字母表示(或用星号表示显著性值和其他统计数据)，并</w:t>
      </w:r>
      <w:r>
        <w:rPr>
          <w:rFonts w:hint="eastAsia"/>
          <w:lang w:eastAsia="zh-CN"/>
        </w:rPr>
        <w:t>放</w:t>
      </w:r>
      <w:r>
        <w:rPr>
          <w:lang w:eastAsia="zh-CN"/>
        </w:rPr>
        <w:t>在表格主体下方。</w:t>
      </w:r>
    </w:p>
    <w:p w14:paraId="010C733A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图片和说明指南</w:t>
      </w:r>
    </w:p>
    <w:p w14:paraId="55AD3297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  <w:r>
        <w:rPr>
          <w:rFonts w:hint="eastAsia"/>
          <w:lang w:eastAsia="zh-CN"/>
        </w:rPr>
        <w:t>为了获得最佳效果，建议您以电子格式提交所有图片等。</w:t>
      </w:r>
    </w:p>
    <w:p w14:paraId="74831E91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</w:p>
    <w:p w14:paraId="707A9F60">
      <w:pPr>
        <w:pStyle w:val="11"/>
        <w:numPr>
          <w:ilvl w:val="0"/>
          <w:numId w:val="1"/>
        </w:num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以电子方式提供所有数据</w:t>
      </w:r>
    </w:p>
    <w:p w14:paraId="2B4106FC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图片请使用高分辨率照片。图片的最低分辨率应符合以下要求</w:t>
      </w:r>
      <w:r>
        <w:rPr>
          <w:lang w:eastAsia="zh-CN"/>
        </w:rPr>
        <w:t>:</w:t>
      </w:r>
    </w:p>
    <w:p w14:paraId="78B5B49B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•黑白线条图</w:t>
      </w:r>
      <w:r>
        <w:rPr>
          <w:rFonts w:ascii="Times New Roman" w:hAnsi="Times New Roman" w:cs="Times New Roman"/>
          <w:sz w:val="20"/>
          <w:szCs w:val="20"/>
          <w:lang w:eastAsia="zh-CN"/>
        </w:rPr>
        <w:t>1200 dpi</w:t>
      </w:r>
    </w:p>
    <w:p w14:paraId="6DDE8DF3">
      <w:pPr>
        <w:spacing w:line="360" w:lineRule="auto"/>
        <w:rPr>
          <w:rFonts w:ascii="Times New Roman" w:hAnsi="Times New Roman" w:cs="Times New Roman"/>
          <w:lang w:eastAsia="zh-CN"/>
        </w:rPr>
      </w:pPr>
      <w:r>
        <w:rPr>
          <w:lang w:eastAsia="zh-CN"/>
        </w:rPr>
        <w:t>•灰度</w:t>
      </w:r>
      <w:r>
        <w:rPr>
          <w:rFonts w:hint="eastAsia"/>
          <w:lang w:eastAsia="zh-CN"/>
        </w:rPr>
        <w:t>图</w:t>
      </w:r>
      <w:r>
        <w:rPr>
          <w:rFonts w:ascii="Times New Roman" w:hAnsi="Times New Roman" w:cs="Times New Roman"/>
          <w:sz w:val="20"/>
          <w:szCs w:val="20"/>
          <w:lang w:eastAsia="zh-CN"/>
        </w:rPr>
        <w:t>600 dpi</w:t>
      </w:r>
    </w:p>
    <w:p w14:paraId="0DF895FF">
      <w:pPr>
        <w:spacing w:line="360" w:lineRule="auto"/>
        <w:rPr>
          <w:rFonts w:ascii="Times New Roman" w:hAnsi="Times New Roman" w:cs="Times New Roman"/>
          <w:lang w:eastAsia="zh-CN"/>
        </w:rPr>
      </w:pPr>
      <w:r>
        <w:rPr>
          <w:lang w:eastAsia="zh-CN"/>
        </w:rPr>
        <w:t>•彩色</w:t>
      </w:r>
      <w:r>
        <w:rPr>
          <w:rFonts w:hint="eastAsia"/>
          <w:lang w:eastAsia="zh-CN"/>
        </w:rPr>
        <w:t>图</w:t>
      </w:r>
      <w:r>
        <w:rPr>
          <w:rFonts w:ascii="Times New Roman" w:hAnsi="Times New Roman" w:cs="Times New Roman"/>
          <w:sz w:val="20"/>
          <w:szCs w:val="20"/>
          <w:lang w:eastAsia="zh-CN"/>
        </w:rPr>
        <w:t>300 dpi</w:t>
      </w:r>
    </w:p>
    <w:p w14:paraId="149F0EB6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对于矢量图，首选格式为</w:t>
      </w:r>
      <w:r>
        <w:rPr>
          <w:rFonts w:ascii="Times New Roman" w:hAnsi="Times New Roman" w:cs="Times New Roman"/>
          <w:sz w:val="20"/>
          <w:szCs w:val="20"/>
          <w:lang w:eastAsia="zh-CN"/>
        </w:rPr>
        <w:t>EPS</w:t>
      </w:r>
      <w:r>
        <w:rPr>
          <w:lang w:eastAsia="zh-CN"/>
        </w:rPr>
        <w:t>;</w:t>
      </w:r>
      <w:r>
        <w:rPr>
          <w:rFonts w:hint="eastAsia"/>
          <w:lang w:eastAsia="zh-CN"/>
        </w:rPr>
        <w:t>其他图片</w:t>
      </w:r>
      <w:r>
        <w:rPr>
          <w:lang w:eastAsia="zh-CN"/>
        </w:rPr>
        <w:t>，请使用</w:t>
      </w:r>
      <w:r>
        <w:rPr>
          <w:rFonts w:ascii="Times New Roman" w:hAnsi="Times New Roman" w:cs="Times New Roman"/>
          <w:sz w:val="20"/>
          <w:szCs w:val="20"/>
          <w:lang w:eastAsia="zh-CN"/>
        </w:rPr>
        <w:t>TIF</w:t>
      </w:r>
      <w:r>
        <w:rPr>
          <w:rFonts w:ascii="Times New Roman" w:hAnsi="Times New Roman" w:cs="Times New Roman"/>
          <w:lang w:eastAsia="zh-CN"/>
        </w:rPr>
        <w:t>F</w:t>
      </w:r>
      <w:r>
        <w:rPr>
          <w:lang w:eastAsia="zh-CN"/>
        </w:rPr>
        <w:t>格式。</w:t>
      </w:r>
      <w:r>
        <w:rPr>
          <w:rFonts w:hint="eastAsia"/>
          <w:lang w:eastAsia="zh-CN"/>
        </w:rPr>
        <w:t>或</w:t>
      </w:r>
      <w:r>
        <w:rPr>
          <w:rFonts w:ascii="Times New Roman" w:hAnsi="Times New Roman" w:cs="Times New Roman"/>
          <w:sz w:val="20"/>
          <w:szCs w:val="20"/>
          <w:lang w:eastAsia="zh-CN"/>
        </w:rPr>
        <w:t>MS Office</w:t>
      </w:r>
      <w:r>
        <w:rPr>
          <w:lang w:eastAsia="zh-CN"/>
        </w:rPr>
        <w:t>文件。</w:t>
      </w:r>
    </w:p>
    <w:p w14:paraId="35042300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包含字体的矢量图必须在文件中嵌入字体。</w:t>
      </w:r>
    </w:p>
    <w:p w14:paraId="7ABF8A64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用“</w:t>
      </w:r>
      <w:r>
        <w:rPr>
          <w:rFonts w:ascii="Times New Roman" w:hAnsi="Times New Roman" w:cs="Times New Roman"/>
          <w:sz w:val="20"/>
          <w:szCs w:val="20"/>
          <w:lang w:eastAsia="zh-CN"/>
        </w:rPr>
        <w:t>Fig</w:t>
      </w:r>
      <w:r>
        <w:rPr>
          <w:lang w:eastAsia="zh-CN"/>
        </w:rPr>
        <w:t>”和图形编号命名您的图形文件，例如</w:t>
      </w:r>
      <w:r>
        <w:rPr>
          <w:rFonts w:ascii="Times New Roman" w:hAnsi="Times New Roman" w:cs="Times New Roman"/>
          <w:sz w:val="20"/>
          <w:szCs w:val="20"/>
          <w:lang w:eastAsia="zh-CN"/>
        </w:rPr>
        <w:t>Fig 1</w:t>
      </w:r>
      <w:r>
        <w:rPr>
          <w:lang w:eastAsia="zh-CN"/>
        </w:rPr>
        <w:t>。</w:t>
      </w:r>
    </w:p>
    <w:p w14:paraId="212D24E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请在提交稿件时单独上传所有数据。</w:t>
      </w:r>
    </w:p>
    <w:p w14:paraId="5BED6E16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作者简介及照片</w:t>
      </w:r>
    </w:p>
    <w:p w14:paraId="3EA5165D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建议您提供</w:t>
      </w:r>
      <w:r>
        <w:rPr>
          <w:rFonts w:ascii="Times New Roman" w:hAnsi="Times New Roman" w:cs="Times New Roman"/>
          <w:sz w:val="20"/>
          <w:szCs w:val="20"/>
          <w:lang w:eastAsia="zh-CN"/>
        </w:rPr>
        <w:t>100</w:t>
      </w:r>
      <w:r>
        <w:rPr>
          <w:lang w:eastAsia="zh-CN"/>
        </w:rPr>
        <w:t>字左右的作者简介和所有作者的高分辨率照片。</w:t>
      </w:r>
    </w:p>
    <w:p w14:paraId="5E57B57D">
      <w:pPr>
        <w:pStyle w:val="11"/>
        <w:numPr>
          <w:ilvl w:val="0"/>
          <w:numId w:val="1"/>
        </w:numPr>
        <w:spacing w:line="360" w:lineRule="auto"/>
      </w:pPr>
      <w:r>
        <w:t>图片摘要</w:t>
      </w:r>
    </w:p>
    <w:p w14:paraId="65DA7617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建议您提供图片摘要（</w:t>
      </w:r>
      <w:r>
        <w:rPr>
          <w:rFonts w:ascii="Times New Roman" w:hAnsi="Times New Roman" w:cs="Times New Roman"/>
          <w:sz w:val="20"/>
          <w:szCs w:val="20"/>
        </w:rPr>
        <w:t>online graphic abstract</w:t>
      </w:r>
      <w:r>
        <w:rPr>
          <w:rFonts w:hint="eastAsia"/>
        </w:rPr>
        <w:t>）。</w:t>
      </w:r>
    </w:p>
    <w:p w14:paraId="08F14FF6">
      <w:pPr>
        <w:pStyle w:val="11"/>
        <w:numPr>
          <w:ilvl w:val="0"/>
          <w:numId w:val="1"/>
        </w:numPr>
        <w:spacing w:line="360" w:lineRule="auto"/>
      </w:pPr>
      <w:r>
        <w:rPr>
          <w:rFonts w:hint="eastAsia"/>
        </w:rPr>
        <w:t>作者信息</w:t>
      </w:r>
    </w:p>
    <w:p w14:paraId="2C9550A8">
      <w:pPr>
        <w:widowControl w:val="0"/>
        <w:kinsoku/>
        <w:autoSpaceDE/>
        <w:autoSpaceDN/>
        <w:adjustRightInd/>
        <w:snapToGrid/>
        <w:spacing w:line="360" w:lineRule="auto"/>
        <w:ind w:firstLine="420" w:firstLineChars="200"/>
        <w:textAlignment w:val="auto"/>
        <w:rPr>
          <w:rFonts w:eastAsiaTheme="minorEastAsia"/>
          <w:lang w:eastAsia="zh-CN"/>
        </w:rPr>
      </w:pPr>
      <w:r>
        <w:rPr>
          <w:rFonts w:hint="eastAsia"/>
          <w:lang w:eastAsia="zh-CN"/>
        </w:rPr>
        <w:t>如果第一作者目前在中国，建议提供第一作者的手机号码，以便编辑部需要时向其咨询稿件内容，以加快处理速度和准确性。</w:t>
      </w:r>
    </w:p>
    <w:p w14:paraId="10ACAB08">
      <w:pPr>
        <w:pStyle w:val="15"/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360" w:lineRule="auto"/>
        <w:ind w:firstLineChars="0"/>
        <w:textAlignment w:val="auto"/>
        <w:rPr>
          <w:rFonts w:cs="Times New Roman" w:asciiTheme="minorEastAsia" w:hAnsiTheme="minorEastAsia" w:eastAsiaTheme="minorEastAsia"/>
          <w:b/>
          <w:bCs/>
        </w:rPr>
      </w:pPr>
      <w:r>
        <w:rPr>
          <w:rFonts w:hint="eastAsia" w:cs="微软雅黑" w:asciiTheme="minorEastAsia" w:hAnsiTheme="minorEastAsia" w:eastAsiaTheme="minorEastAsia"/>
          <w:b/>
          <w:bCs/>
          <w:lang w:eastAsia="zh-CN"/>
        </w:rPr>
        <w:t xml:space="preserve"> </w:t>
      </w:r>
      <w:r>
        <w:rPr>
          <w:rFonts w:cs="Times New Roman" w:asciiTheme="minorEastAsia" w:hAnsiTheme="minorEastAsia" w:eastAsiaTheme="minorEastAsia"/>
          <w:b/>
          <w:bCs/>
        </w:rPr>
        <w:t>作者修改</w:t>
      </w:r>
    </w:p>
    <w:p w14:paraId="3B1B0EFB">
      <w:pPr>
        <w:pStyle w:val="15"/>
        <w:widowControl w:val="0"/>
        <w:kinsoku/>
        <w:autoSpaceDE/>
        <w:autoSpaceDN/>
        <w:adjustRightInd/>
        <w:snapToGrid/>
        <w:spacing w:line="360" w:lineRule="auto"/>
        <w:textAlignment w:val="auto"/>
        <w:rPr>
          <w:rFonts w:asciiTheme="minorEastAsia" w:hAnsiTheme="minorEastAsia" w:eastAsiaTheme="minorEastAsia"/>
          <w:lang w:eastAsia="zh-CN"/>
        </w:rPr>
      </w:pPr>
      <w:r>
        <w:rPr>
          <w:rFonts w:asciiTheme="minorEastAsia" w:hAnsiTheme="minorEastAsia" w:eastAsiaTheme="minorEastAsia"/>
          <w:lang w:eastAsia="zh-CN"/>
        </w:rPr>
        <w:t>作者文章接收后，不允许修改作者。如文章接收前，作者申请进行作者修改，有可能增加稿件被拒的可能。</w:t>
      </w:r>
    </w:p>
    <w:p w14:paraId="77441106">
      <w:pPr>
        <w:pStyle w:val="2"/>
        <w:spacing w:before="240" w:beforeLines="100" w:line="360" w:lineRule="auto"/>
        <w:ind w:firstLine="380" w:firstLineChars="200"/>
        <w:rPr>
          <w:rFonts w:ascii="Times New Roman" w:hAnsi="Times New Roman" w:cs="Times New Roman"/>
          <w:lang w:eastAsia="zh-CN"/>
        </w:rPr>
      </w:pPr>
    </w:p>
    <w:sectPr>
      <w:footerReference r:id="rId3" w:type="default"/>
      <w:pgSz w:w="11907" w:h="16839"/>
      <w:pgMar w:top="1431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C1AC4"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DF3E68"/>
    <w:multiLevelType w:val="multilevel"/>
    <w:tmpl w:val="9BDF3E68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nothing"/>
      <w:lvlText w:val="(%2)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0MGFmNDRmOGNkZGQ3ZDJhMWUyNTQ3MWQ4MDBhYWUifQ=="/>
  </w:docVars>
  <w:rsids>
    <w:rsidRoot w:val="00A14E74"/>
    <w:rsid w:val="00021243"/>
    <w:rsid w:val="000C6797"/>
    <w:rsid w:val="002F23BF"/>
    <w:rsid w:val="002F6CDA"/>
    <w:rsid w:val="00363B8A"/>
    <w:rsid w:val="007A25F6"/>
    <w:rsid w:val="007A47EF"/>
    <w:rsid w:val="009941FA"/>
    <w:rsid w:val="009E630A"/>
    <w:rsid w:val="00A14E74"/>
    <w:rsid w:val="00A801B6"/>
    <w:rsid w:val="00F46070"/>
    <w:rsid w:val="176F6C9D"/>
    <w:rsid w:val="29A832DF"/>
    <w:rsid w:val="2B6D0E54"/>
    <w:rsid w:val="30C96FC7"/>
    <w:rsid w:val="3C3F5BA9"/>
    <w:rsid w:val="431F2491"/>
    <w:rsid w:val="552C4F98"/>
    <w:rsid w:val="5D465377"/>
    <w:rsid w:val="6FF5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Verdana" w:hAnsi="Verdana" w:eastAsia="Verdana" w:cs="Verdana"/>
      <w:sz w:val="19"/>
      <w:szCs w:val="19"/>
    </w:rPr>
  </w:style>
  <w:style w:type="paragraph" w:styleId="3">
    <w:name w:val="footer"/>
    <w:basedOn w:val="1"/>
    <w:link w:val="14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翻译二级标题"/>
    <w:basedOn w:val="1"/>
    <w:qFormat/>
    <w:uiPriority w:val="0"/>
    <w:rPr>
      <w:rFonts w:ascii="宋体" w:hAnsi="宋体" w:cs="Times New Roman"/>
      <w:b/>
      <w:bCs/>
    </w:rPr>
  </w:style>
  <w:style w:type="paragraph" w:customStyle="1" w:styleId="12">
    <w:name w:val="文本格式"/>
    <w:basedOn w:val="1"/>
    <w:qFormat/>
    <w:uiPriority w:val="0"/>
    <w:rPr>
      <w:rFonts w:ascii="宋体" w:hAnsi="宋体"/>
      <w:u w:val="single"/>
    </w:rPr>
  </w:style>
  <w:style w:type="character" w:customStyle="1" w:styleId="13">
    <w:name w:val="页眉 字符"/>
    <w:basedOn w:val="7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字符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724</Words>
  <Characters>1643</Characters>
  <Lines>47</Lines>
  <Paragraphs>13</Paragraphs>
  <TotalTime>6</TotalTime>
  <ScaleCrop>false</ScaleCrop>
  <LinksUpToDate>false</LinksUpToDate>
  <CharactersWithSpaces>1738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2023-12-15T07:52:00Z</dcterms:created>
  <dc:creator>Lenovo</dc:creator>
  <cp:lastModifiedBy>晨风</cp:lastModifiedBy>
  <dcterms:modified xsi:type="dcterms:W3CDTF">2025-11-21T06:49:38Z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2023-12-15T13:42:58Z</vt:filetime>
  </property>
  <property fmtid="{D5CDD505-2E9C-101B-9397-08002B2CF9AE}" pid="4" name="KSOProductBuildVer">
    <vt:lpwstr>2052-12.1.0.23542</vt:lpwstr>
  </property>
  <property fmtid="{D5CDD505-2E9C-101B-9397-08002B2CF9AE}" pid="5" name="ICV">
    <vt:lpwstr>1C37F1054F0041DCB18FC09DF50D63E3_13</vt:lpwstr>
  </property>
  <property fmtid="{D5CDD505-2E9C-101B-9397-08002B2CF9AE}" pid="6" name="KSOTemplateDocerSaveRecord">
    <vt:lpwstr>eyJoZGlkIjoiNzM2YWIzNjMzMTQ0YTE1MzU5YzM2NTI5YmUzYThiNWEiLCJ1c2VySWQiOiIxNTg0MDEyMzI3In0=</vt:lpwstr>
  </property>
</Properties>
</file>